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1" w:beforeLines="50" w:line="600" w:lineRule="exact"/>
        <w:rPr>
          <w:rFonts w:hint="eastAsia" w:eastAsia="方正小标宋简体"/>
          <w:sz w:val="36"/>
        </w:rPr>
      </w:pPr>
      <w:r>
        <w:rPr>
          <w:rFonts w:hint="eastAsia" w:eastAsia="方正小标宋简体"/>
          <w:sz w:val="36"/>
        </w:rPr>
        <w:t xml:space="preserve">          </w:t>
      </w:r>
    </w:p>
    <w:p>
      <w:pPr>
        <w:spacing w:line="600" w:lineRule="exact"/>
        <w:rPr>
          <w:rFonts w:hint="eastAsia" w:eastAsia="方正小标宋简体"/>
          <w:sz w:val="36"/>
        </w:rPr>
      </w:pPr>
    </w:p>
    <w:p>
      <w:pPr>
        <w:spacing w:line="600" w:lineRule="exact"/>
        <w:rPr>
          <w:rFonts w:hint="eastAsia" w:eastAsia="方正小标宋简体"/>
          <w:sz w:val="36"/>
        </w:rPr>
      </w:pPr>
      <w:r>
        <w:rPr>
          <w:rFonts w:eastAsia="方正小标宋简体"/>
          <w:sz w:val="20"/>
        </w:rPr>
        <w:pict>
          <v:shape id="_x0000_s1026" o:spid="_x0000_s1026" o:spt="136" type="#_x0000_t136" style="position:absolute;left:0pt;margin-left:46.8pt;margin-top:15.05pt;height:42.25pt;width:357.65pt;mso-wrap-distance-left:9pt;mso-wrap-distance-right:9pt;z-index:-251657216;mso-width-relative:page;mso-height-relative:page;" fillcolor="#FF0000" filled="t" stroked="t" coordsize="21600,21600" wrapcoords="4903 0 4408 5336 4407 5351 4402 5397 4401 5411 4397 5425 4346 5815 4294 6201 4241 6583 4131 7324 4019 8026 3905 8689 3788 9312 3729 9609 3669 9896 3609 10174 3548 10442 3487 10700 3425 10948 3363 11186 3300 11415 3374 11931 4217 11933 4211 12551 3533 12553 3691 13759 4198 13761 4163 17870 4104 18228 4039 18556 3976 18820 3914 19022 3825 19205 3992 21333 6050 21335 6159 21512 6175 21512 6189 21428 12116 21426 12201 21162 13688 21160 13782 20951 13863 20733 16160 20731 17108 20727 17243 20562 17329 20301 17380 20061 17425 19769 17464 19424 17414 19092 17362 18873 17369 18869 17914 18867 17971 18537 17994 18288 18013 17979 18027 17611 18031 17312 18022 17013 17994 16614 17972 16415 17945 16215 17913 16015 17875 15809 17829 15587 17776 15352 17715 15102 17647 14838 17571 14559 17488 14266 17397 13958 16586 13956 16564 13904 16459 13561 16427 13446 16625 13444 16686 13268 17924 13266 17937 13048 17969 12758 18020 12513 18115 12256 18241 12079 18088 11256 17932 11057 17826 10878 17719 10661 17611 10406 17502 10114 17392 9784 17283 9411 17230 9206 17179 8989 17128 8761 17079 8520 17031 8266 16984 8001 16938 7724 16893 7434 16850 7133 16807 6819 16766 6493 16726 6155 16687 5805 16657 5445 18168 5443 17823 3113 16566 3111 16587 2074 16736 1494 16281 173 4907 171 4919 0 4903 0">
            <v:path/>
            <v:fill on="t" focussize="0,0"/>
            <v:stroke weight="0.05pt" color="#FF0000"/>
            <v:imagedata o:title=""/>
            <o:lock v:ext="edit" grouping="f" rotation="f" text="f" aspectratio="f"/>
            <v:textpath on="t" fitshape="t" fitpath="t" trim="t" xscale="f" string="   会员动态   " style="font-family:方正小标宋简体;font-size:20pt;font-weight:bold;v-text-align:center;"/>
            <w10:wrap type="through"/>
          </v:shape>
        </w:pict>
      </w:r>
    </w:p>
    <w:p>
      <w:pPr>
        <w:spacing w:before="120" w:after="120" w:line="600" w:lineRule="exact"/>
        <w:rPr>
          <w:rFonts w:hint="eastAsia" w:eastAsia="方正小标宋简体"/>
          <w:sz w:val="36"/>
        </w:rPr>
      </w:pPr>
    </w:p>
    <w:p>
      <w:pPr>
        <w:spacing w:before="301" w:beforeLines="50" w:line="600" w:lineRule="exact"/>
        <w:jc w:val="center"/>
        <w:rPr>
          <w:rFonts w:hint="eastAsia" w:ascii="楷体" w:hAnsi="楷体" w:eastAsia="楷体"/>
          <w:sz w:val="30"/>
        </w:rPr>
      </w:pPr>
      <w:r>
        <w:rPr>
          <w:rFonts w:hint="eastAsia" w:ascii="楷体" w:hAnsi="楷体" w:eastAsia="楷体"/>
        </w:rPr>
        <w:t>201</w:t>
      </w:r>
      <w:r>
        <w:rPr>
          <w:rFonts w:hint="eastAsia" w:ascii="楷体" w:hAnsi="楷体" w:eastAsia="楷体"/>
          <w:lang w:val="en-US" w:eastAsia="zh-CN"/>
        </w:rPr>
        <w:t>8</w:t>
      </w:r>
      <w:r>
        <w:rPr>
          <w:rFonts w:hint="eastAsia" w:ascii="楷体" w:hAnsi="楷体" w:eastAsia="楷体"/>
        </w:rPr>
        <w:t>年第</w:t>
      </w:r>
      <w:r>
        <w:rPr>
          <w:rFonts w:hint="eastAsia" w:ascii="楷体" w:hAnsi="楷体" w:eastAsia="楷体"/>
          <w:lang w:val="en-US" w:eastAsia="zh-CN"/>
        </w:rPr>
        <w:t>34</w:t>
      </w:r>
      <w:r>
        <w:rPr>
          <w:rFonts w:hint="eastAsia" w:ascii="楷体" w:hAnsi="楷体" w:eastAsia="楷体"/>
        </w:rPr>
        <w:t>期（总第</w:t>
      </w:r>
      <w:r>
        <w:rPr>
          <w:rFonts w:hint="eastAsia" w:ascii="楷体" w:hAnsi="楷体" w:eastAsia="楷体"/>
          <w:lang w:val="en-US" w:eastAsia="zh-CN"/>
        </w:rPr>
        <w:t>220</w:t>
      </w:r>
      <w:r>
        <w:rPr>
          <w:rFonts w:hint="eastAsia" w:ascii="楷体" w:hAnsi="楷体" w:eastAsia="楷体"/>
        </w:rPr>
        <w:t>期）</w:t>
      </w:r>
    </w:p>
    <w:p>
      <w:pPr>
        <w:spacing w:before="301" w:beforeLines="50" w:line="600" w:lineRule="exact"/>
        <w:ind w:firstLine="300" w:firstLineChars="100"/>
        <w:rPr>
          <w:rFonts w:ascii="楷体" w:hAnsi="楷体" w:eastAsia="楷体"/>
          <w:sz w:val="30"/>
        </w:rPr>
      </w:pPr>
      <w:r>
        <w:rPr>
          <w:rFonts w:hint="eastAsia" w:ascii="楷体" w:hAnsi="楷体" w:eastAsia="楷体"/>
          <w:sz w:val="30"/>
        </w:rPr>
        <w:t>山西省银行业协会秘书处              201</w:t>
      </w:r>
      <w:r>
        <w:rPr>
          <w:rFonts w:hint="eastAsia" w:ascii="楷体" w:hAnsi="楷体" w:eastAsia="楷体"/>
          <w:sz w:val="30"/>
          <w:lang w:val="en-US" w:eastAsia="zh-CN"/>
        </w:rPr>
        <w:t>8</w:t>
      </w:r>
      <w:r>
        <w:rPr>
          <w:rFonts w:hint="eastAsia" w:ascii="楷体" w:hAnsi="楷体" w:eastAsia="楷体"/>
          <w:sz w:val="30"/>
        </w:rPr>
        <w:t>年</w:t>
      </w:r>
      <w:r>
        <w:rPr>
          <w:rFonts w:hint="eastAsia" w:ascii="楷体" w:hAnsi="楷体" w:eastAsia="楷体"/>
          <w:sz w:val="30"/>
          <w:lang w:val="en-US" w:eastAsia="zh-CN"/>
        </w:rPr>
        <w:t>12</w:t>
      </w:r>
      <w:r>
        <w:rPr>
          <w:rFonts w:hint="eastAsia" w:ascii="楷体" w:hAnsi="楷体" w:eastAsia="楷体"/>
          <w:sz w:val="30"/>
        </w:rPr>
        <w:t>月</w:t>
      </w:r>
      <w:r>
        <w:rPr>
          <w:rFonts w:hint="eastAsia" w:ascii="楷体" w:hAnsi="楷体" w:eastAsia="楷体"/>
          <w:sz w:val="30"/>
          <w:lang w:val="en-US" w:eastAsia="zh-CN"/>
        </w:rPr>
        <w:t>25</w:t>
      </w:r>
      <w:r>
        <w:rPr>
          <w:rFonts w:hint="eastAsia" w:ascii="楷体" w:hAnsi="楷体" w:eastAsia="楷体"/>
          <w:sz w:val="30"/>
        </w:rPr>
        <w:t>日</w:t>
      </w:r>
    </w:p>
    <w:tbl>
      <w:tblPr>
        <w:tblStyle w:val="5"/>
        <w:tblW w:w="8740" w:type="dxa"/>
        <w:tblInd w:w="1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 w:hRule="atLeast"/>
        </w:trPr>
        <w:tc>
          <w:tcPr>
            <w:tcW w:w="8740" w:type="dxa"/>
            <w:tcBorders>
              <w:top w:val="single" w:color="FF0000" w:sz="4" w:space="0"/>
              <w:left w:val="nil"/>
              <w:bottom w:val="nil"/>
              <w:right w:val="nil"/>
            </w:tcBorders>
            <w:vAlign w:val="top"/>
          </w:tcPr>
          <w:p>
            <w:pPr>
              <w:spacing w:line="600" w:lineRule="exact"/>
              <w:ind w:left="-140"/>
              <w:rPr>
                <w:rFonts w:hint="eastAsia" w:eastAsia="方正小标宋简体"/>
                <w:sz w:val="36"/>
              </w:rPr>
            </w:pPr>
          </w:p>
        </w:tc>
      </w:tr>
    </w:tbl>
    <w:p>
      <w:pPr>
        <w:spacing w:line="600" w:lineRule="exact"/>
        <w:jc w:val="center"/>
        <w:rPr>
          <w:rFonts w:hint="eastAsia" w:ascii="方正小标宋简体" w:eastAsia="方正小标宋简体"/>
          <w:bCs/>
          <w:sz w:val="36"/>
          <w:szCs w:val="32"/>
        </w:rPr>
      </w:pPr>
      <w:r>
        <w:rPr>
          <w:rFonts w:hint="eastAsia" w:ascii="方正小标宋简体" w:eastAsia="方正小标宋简体"/>
          <w:bCs/>
          <w:sz w:val="36"/>
          <w:szCs w:val="32"/>
        </w:rPr>
        <w:t>本  期  目  录</w:t>
      </w:r>
    </w:p>
    <w:p>
      <w:pPr>
        <w:spacing w:line="600" w:lineRule="exact"/>
        <w:jc w:val="center"/>
        <w:rPr>
          <w:rFonts w:hint="eastAsia" w:ascii="方正小标宋简体" w:eastAsia="方正小标宋简体"/>
          <w:bCs/>
          <w:sz w:val="36"/>
          <w:szCs w:val="32"/>
          <w:lang w:val="en-US" w:eastAsia="zh-CN"/>
        </w:rPr>
      </w:pP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中国银行山西省分行债券分销业务量突破两百亿元</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建设银行山西省分行发挥传统优势引领山西省建筑行业信息化建设</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山西省联社层层推进金融精准扶贫工作</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邮储银行山西省分行完成扶贫小额贷款投放任务</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fldChar w:fldCharType="begin"/>
      </w:r>
      <w:r>
        <w:rPr>
          <w:rFonts w:hint="eastAsia" w:ascii="仿宋" w:eastAsia="仿宋"/>
          <w:sz w:val="30"/>
          <w:szCs w:val="30"/>
          <w:lang w:val="en-US" w:eastAsia="zh-CN"/>
        </w:rPr>
        <w:instrText xml:space="preserve"> HYPERLINK "http://www.so.com/link?m=auK//uulbZenX70BAPtNM4AaPNurNQnJ4UWozfuEr7ZoJJs0yC+KNsa8aZ3mAK6jBhm4G5t2D9zJBfKKxTbyHA5uuzbBDo3gVOOqqzAYFwoZv3c9uO8VHGrsQI/ML0Nkl6RJJyQHeBu8MDvTmTo7k4d+3rtlU/o8ZnophMiqdACNT7uRGoXjF788xMOKR0DWnqshW8HeNEynkMcJcTWtY45vs4Hpmrv5Wz3yCHhjw4VuB7HWaX2DerF815de9vZpcC5z8O1GUTxEL/CRVMYuOyS8me1t8QT1FsvoDhm7ZsSpGLSRCD93ohiJ2tuGtKGcUFkzBpA==" \t "https://www.so.com/_blank" </w:instrText>
      </w:r>
      <w:r>
        <w:rPr>
          <w:rFonts w:hint="eastAsia" w:ascii="仿宋" w:eastAsia="仿宋"/>
          <w:sz w:val="30"/>
          <w:szCs w:val="30"/>
          <w:lang w:val="en-US" w:eastAsia="zh-CN"/>
        </w:rPr>
        <w:fldChar w:fldCharType="separate"/>
      </w:r>
      <w:r>
        <w:rPr>
          <w:rFonts w:hint="eastAsia" w:ascii="仿宋" w:eastAsia="仿宋"/>
          <w:sz w:val="30"/>
          <w:szCs w:val="30"/>
          <w:lang w:val="en-US" w:eastAsia="zh-CN"/>
        </w:rPr>
        <w:t>助力民营企业 晋商银行在行动</w:t>
      </w:r>
      <w:r>
        <w:rPr>
          <w:rFonts w:hint="eastAsia" w:ascii="仿宋" w:eastAsia="仿宋"/>
          <w:sz w:val="30"/>
          <w:szCs w:val="30"/>
          <w:lang w:val="en-US" w:eastAsia="zh-CN"/>
        </w:rPr>
        <w:fldChar w:fldCharType="end"/>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简讯</w:t>
      </w:r>
    </w:p>
    <w:p>
      <w:pPr>
        <w:numPr>
          <w:ilvl w:val="0"/>
          <w:numId w:val="0"/>
        </w:numPr>
        <w:spacing w:line="600" w:lineRule="exact"/>
        <w:ind w:leftChars="0"/>
        <w:rPr>
          <w:rFonts w:hint="eastAsia" w:ascii="方正小标宋简体" w:hAnsi="仿宋" w:eastAsia="方正小标宋简体" w:cs="仿宋_GB2312"/>
          <w:sz w:val="36"/>
          <w:szCs w:val="36"/>
          <w:lang w:val="en-US" w:eastAsia="zh-CN"/>
        </w:rPr>
      </w:pPr>
    </w:p>
    <w:p>
      <w:pPr>
        <w:numPr>
          <w:ilvl w:val="0"/>
          <w:numId w:val="0"/>
        </w:numPr>
        <w:spacing w:line="600" w:lineRule="exact"/>
        <w:ind w:leftChars="0"/>
        <w:rPr>
          <w:rFonts w:hint="eastAsia" w:ascii="方正小标宋简体" w:hAnsi="仿宋" w:eastAsia="方正小标宋简体" w:cs="仿宋_GB2312"/>
          <w:sz w:val="36"/>
          <w:szCs w:val="36"/>
          <w:lang w:val="en-US" w:eastAsia="zh-CN"/>
        </w:rPr>
      </w:pPr>
    </w:p>
    <w:p>
      <w:pPr>
        <w:spacing w:line="580" w:lineRule="exact"/>
        <w:rPr>
          <w:rFonts w:ascii="仿宋_GB2312" w:hAnsi="宋体" w:eastAsia="仿宋_GB2312" w:cs="宋体"/>
          <w:b/>
          <w:color w:val="000000"/>
          <w:kern w:val="0"/>
          <w:sz w:val="30"/>
          <w:szCs w:val="30"/>
        </w:rPr>
      </w:pPr>
    </w:p>
    <w:p>
      <w:pPr>
        <w:spacing w:line="580" w:lineRule="exact"/>
        <w:rPr>
          <w:rFonts w:ascii="仿宋_GB2312" w:hAnsi="宋体" w:eastAsia="仿宋_GB2312" w:cs="宋体"/>
          <w:b/>
          <w:color w:val="000000"/>
          <w:kern w:val="0"/>
          <w:sz w:val="30"/>
          <w:szCs w:val="30"/>
        </w:rPr>
      </w:pPr>
    </w:p>
    <w:p>
      <w:pPr>
        <w:spacing w:line="580" w:lineRule="exact"/>
        <w:rPr>
          <w:rFonts w:ascii="仿宋_GB2312" w:hAnsi="宋体" w:eastAsia="仿宋_GB2312" w:cs="宋体"/>
          <w:b/>
          <w:color w:val="000000"/>
          <w:kern w:val="0"/>
          <w:sz w:val="30"/>
          <w:szCs w:val="30"/>
        </w:rPr>
      </w:pPr>
    </w:p>
    <w:p>
      <w:pPr>
        <w:jc w:val="both"/>
        <w:rPr>
          <w:rFonts w:hint="eastAsia" w:ascii="黑体" w:hAnsi="黑体" w:eastAsia="黑体" w:cs="黑体"/>
          <w:kern w:val="2"/>
          <w:sz w:val="36"/>
          <w:szCs w:val="36"/>
          <w:lang w:val="en-US" w:eastAsia="zh-CN" w:bidi="ar-SA"/>
        </w:rPr>
      </w:pP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中国银行山西省分行债券分销业务量突破两百亿元</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今年以来，中国银行山西省分行积极把握市场契机，深入挖掘客户需求，在同业竞争激烈、监管逐步趋紧的情况下，通过多级联动、多层营销，持续拓展债券分销市场，以实际行动支持企业融资，引导资金回流实体经济。截至11月末，该行累计分销债券（全口径）225.2亿元，突破200亿大关，较去年同期增长39.36%。</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为促进山西省债务资本市场健康发行，该行举办“中国银行债务市场投资人研讨会（山西地区）暨反路演活动”。省政府金融办、中银基金以及来自全国逾90家投资机构参加会议，由总行专家现场授课，向投资人和发行人提供专业化、多元化的全流程服务。来自山西、陕西、宁夏三地的八家债券发行人向投资人进行了反路演展示。本次活动为企业与投资人建立了了解沟通的纽带，巩固了</w:t>
      </w:r>
      <w:r>
        <w:rPr>
          <w:rFonts w:hint="eastAsia" w:ascii="仿宋_GB2312" w:hAnsi="仿宋_GB2312" w:cs="仿宋_GB2312"/>
          <w:sz w:val="32"/>
          <w:szCs w:val="32"/>
          <w:u w:val="none" w:color="auto"/>
          <w:lang w:val="en-US" w:eastAsia="zh-CN"/>
        </w:rPr>
        <w:t>该</w:t>
      </w:r>
      <w:r>
        <w:rPr>
          <w:rFonts w:hint="eastAsia" w:ascii="仿宋_GB2312" w:hAnsi="仿宋_GB2312" w:eastAsia="仿宋_GB2312" w:cs="仿宋_GB2312"/>
          <w:sz w:val="32"/>
          <w:szCs w:val="32"/>
          <w:u w:val="none" w:color="auto"/>
          <w:lang w:val="en-US" w:eastAsia="zh-CN"/>
        </w:rPr>
        <w:t>行与发债企业和投资人关系，极大振奋了全辖大力发展债券承分销业务的信心。</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鉴于山西省各农商农信客户分布松散的地域特征，该行建立“直客式”工作机制，各地市县域支行负责与客户日常交流，建立好客户关系后，省分行专职分销人员再与二级分支行同事一同上门营销拜访。在发展与维系分销客户的过程中，该行推行“分片包干”责任制，赶赴基层开展直客式营销，为一线客户经理分担营销压力，为客户提供更加专业与优质的服务。截至11月末已开展两轮直客式营销，全省共十家二级地市行、共计110家农商农信客户已全部覆盖。同时及时下发每日债券分销相关信息，调动全辖对公客户经理对于债券分销业务的参与度与关注度；专职分销人员定期与客户交流市场，沟通客户投资策略，对该行的债券市场服务进行后评价。</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8" w:firstLineChars="14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（中国银行山西省分行供稿）</w:t>
      </w:r>
    </w:p>
    <w:p>
      <w:pPr>
        <w:spacing w:line="360" w:lineRule="auto"/>
        <w:ind w:firstLine="1440" w:firstLineChars="4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建设银行山西省分行发挥传统优势</w:t>
      </w:r>
    </w:p>
    <w:p>
      <w:pPr>
        <w:spacing w:line="360" w:lineRule="auto"/>
        <w:ind w:firstLine="1800" w:firstLineChars="500"/>
        <w:contextualSpacing/>
        <w:rPr>
          <w:rFonts w:hint="eastAsia" w:ascii="黑体" w:hAnsi="黑体" w:eastAsia="黑体" w:cs="宋体"/>
          <w:b/>
          <w:color w:val="333333"/>
          <w:kern w:val="0"/>
          <w:sz w:val="32"/>
          <w:szCs w:val="24"/>
        </w:rPr>
      </w:pPr>
      <w:r>
        <w:rPr>
          <w:rFonts w:hint="eastAsia" w:ascii="黑体" w:hAnsi="黑体" w:eastAsia="黑体" w:cs="黑体"/>
          <w:kern w:val="2"/>
          <w:sz w:val="36"/>
          <w:szCs w:val="36"/>
          <w:lang w:val="en-US" w:eastAsia="zh-CN" w:bidi="ar-SA"/>
        </w:rPr>
        <w:t>引领山西省建筑行业信息化建设</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12月19日，建行</w:t>
      </w:r>
      <w:r>
        <w:rPr>
          <w:rFonts w:hint="eastAsia" w:ascii="仿宋_GB2312" w:hAnsi="仿宋_GB2312" w:cs="仿宋_GB2312"/>
          <w:sz w:val="32"/>
          <w:szCs w:val="32"/>
          <w:u w:val="none" w:color="auto"/>
          <w:lang w:val="en-US" w:eastAsia="zh-CN"/>
        </w:rPr>
        <w:t>山西省分行</w:t>
      </w:r>
      <w:r>
        <w:rPr>
          <w:rFonts w:hint="eastAsia" w:ascii="仿宋_GB2312" w:hAnsi="仿宋_GB2312" w:eastAsia="仿宋_GB2312" w:cs="仿宋_GB2312"/>
          <w:sz w:val="32"/>
          <w:szCs w:val="32"/>
          <w:u w:val="none" w:color="auto"/>
          <w:lang w:val="en-US" w:eastAsia="zh-CN"/>
        </w:rPr>
        <w:t>与省住房和城乡建设厅、省人力资源和社会保障厅、山西移动共同签署了山西省建筑行业信息化建设战略合作、建筑用工市场管理系统建设合作协议。全省64家骨干建筑企业现场见证。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建设银行搭建的“农民工普惠服务平台”搭载 “民工惠”“民工宝”“民工乐”三大系列产品， 嵌入建筑行业信息化建设中，以建行智慧提供各项精准金融支持，以金融力量解决“农民工工资发放”难题。山西建行在服务支持建筑行业发展方面有着深厚的历史底蕴和得天独厚的优势，此次助力政府搭建用工管理、工程担保、信息评价、质量监管、公共服务五大系统，是“大数据+政务互联+金融科技”的有机整合和创新应用，将有力助推山西建筑行业加快实现信息化建设目标，打造“金融+建筑+通信”合作新模式，以金融手段促进建筑业健康良性发展。 </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建行山西省分行分别与山西省住房和城乡建设厅及山西省劳动保障监察总队签署了《建筑用工市场管理系统全面合作框架协议》，与山西省住房和城乡建设厅及中国移动通信集团山西有限公司签署了《建筑行业信息化建设战略合作协议》，与山西建设投资集团有限公司、城杰建设集团有限公司签署了《“民工惠”业务战略合作协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（建设银行山西省分行供稿）</w:t>
      </w:r>
    </w:p>
    <w:p>
      <w:pPr>
        <w:spacing w:line="360" w:lineRule="auto"/>
        <w:ind w:firstLine="1080" w:firstLineChars="300"/>
        <w:contextualSpacing/>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山西省联社层层推进金融精准扶贫工作</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cs="仿宋_GB2312"/>
          <w:sz w:val="32"/>
          <w:szCs w:val="32"/>
          <w:u w:val="none" w:color="auto"/>
          <w:lang w:val="en-US" w:eastAsia="zh-CN"/>
        </w:rPr>
        <w:t>山西省联社</w:t>
      </w:r>
      <w:r>
        <w:rPr>
          <w:rFonts w:hint="eastAsia" w:ascii="仿宋_GB2312" w:hAnsi="仿宋_GB2312" w:eastAsia="仿宋_GB2312" w:cs="仿宋_GB2312"/>
          <w:sz w:val="32"/>
          <w:szCs w:val="32"/>
          <w:u w:val="none" w:color="auto"/>
          <w:lang w:val="en-US" w:eastAsia="zh-CN"/>
        </w:rPr>
        <w:t>全系统金融精准扶贫</w:t>
      </w:r>
      <w:r>
        <w:rPr>
          <w:rFonts w:hint="eastAsia" w:ascii="仿宋_GB2312" w:hAnsi="仿宋_GB2312" w:cs="仿宋_GB2312"/>
          <w:sz w:val="32"/>
          <w:szCs w:val="32"/>
          <w:u w:val="none" w:color="auto"/>
          <w:lang w:val="en-US" w:eastAsia="zh-CN"/>
        </w:rPr>
        <w:t>工作，截止10月底</w:t>
      </w:r>
      <w:r>
        <w:rPr>
          <w:rFonts w:hint="eastAsia" w:ascii="仿宋_GB2312" w:hAnsi="仿宋_GB2312" w:eastAsia="仿宋_GB2312" w:cs="仿宋_GB2312"/>
          <w:sz w:val="32"/>
          <w:szCs w:val="32"/>
          <w:u w:val="none" w:color="auto"/>
          <w:lang w:val="en-US" w:eastAsia="zh-CN"/>
        </w:rPr>
        <w:t>贷款累计投放162.48亿元，完成全年工作目标的105%，其中扶贫小额信贷累计投放27.88亿元，完成全年工作目标的112%，支持13.77万建档立卡贫困户走上脱贫致富之路。</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层层推进金融精准扶贫贷款155亿元的投放目标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扶贫工作就要找准点、鼓足劲、迎难上。今年年初，</w:t>
      </w:r>
      <w:r>
        <w:rPr>
          <w:rFonts w:hint="eastAsia" w:ascii="仿宋_GB2312" w:hAnsi="仿宋_GB2312" w:cs="仿宋_GB2312"/>
          <w:sz w:val="32"/>
          <w:szCs w:val="32"/>
          <w:u w:val="none" w:color="auto"/>
          <w:lang w:val="en-US" w:eastAsia="zh-CN"/>
        </w:rPr>
        <w:t>山西省联社</w:t>
      </w:r>
      <w:r>
        <w:rPr>
          <w:rFonts w:hint="eastAsia" w:ascii="仿宋_GB2312" w:hAnsi="仿宋_GB2312" w:eastAsia="仿宋_GB2312" w:cs="仿宋_GB2312"/>
          <w:sz w:val="32"/>
          <w:szCs w:val="32"/>
          <w:u w:val="none" w:color="auto"/>
          <w:lang w:val="en-US" w:eastAsia="zh-CN"/>
        </w:rPr>
        <w:t>党委就围绕“深耕三农、细作小微、精准扶贫、倾力重点”的定位，确定了“全年累计投放金融精准扶贫贷款155亿元，包括单位精准扶贫贷款投放110亿元、个人精准扶贫贷款投放45亿元（其中扶贫小额信贷投放25亿元）”的工作目标。今年来，</w:t>
      </w:r>
      <w:r>
        <w:rPr>
          <w:rFonts w:hint="eastAsia" w:ascii="仿宋_GB2312" w:hAnsi="仿宋_GB2312" w:cs="仿宋_GB2312"/>
          <w:sz w:val="32"/>
          <w:szCs w:val="32"/>
          <w:u w:val="none" w:color="auto"/>
          <w:lang w:val="en-US" w:eastAsia="zh-CN"/>
        </w:rPr>
        <w:t>山西省联社</w:t>
      </w:r>
      <w:r>
        <w:rPr>
          <w:rFonts w:hint="eastAsia" w:ascii="仿宋_GB2312" w:hAnsi="仿宋_GB2312" w:eastAsia="仿宋_GB2312" w:cs="仿宋_GB2312"/>
          <w:sz w:val="32"/>
          <w:szCs w:val="32"/>
          <w:u w:val="none" w:color="auto"/>
          <w:lang w:val="en-US" w:eastAsia="zh-CN"/>
        </w:rPr>
        <w:t>党委、经营层结合工作推进情况，多次听取重点工作进度，解决工作中的难点问题，主要领导和班子成员深入贫困县、贫困村、贫困户，了解、督促扶贫工作。同时，市县两级机构也采取一级抓一级，层层抓落实的方式压实责任，及早安排部署，扎实有序推进，特别是，省</w:t>
      </w:r>
      <w:r>
        <w:rPr>
          <w:rFonts w:hint="eastAsia" w:ascii="仿宋_GB2312" w:hAnsi="仿宋_GB2312" w:cs="仿宋_GB2312"/>
          <w:sz w:val="32"/>
          <w:szCs w:val="32"/>
          <w:u w:val="none" w:color="auto"/>
          <w:lang w:val="en-US" w:eastAsia="zh-CN"/>
        </w:rPr>
        <w:t>联</w:t>
      </w:r>
      <w:r>
        <w:rPr>
          <w:rFonts w:hint="eastAsia" w:ascii="仿宋_GB2312" w:hAnsi="仿宋_GB2312" w:eastAsia="仿宋_GB2312" w:cs="仿宋_GB2312"/>
          <w:sz w:val="32"/>
          <w:szCs w:val="32"/>
          <w:u w:val="none" w:color="auto"/>
          <w:lang w:val="en-US" w:eastAsia="zh-CN"/>
        </w:rPr>
        <w:t>社以10个深度贫困县为主阵地，结合深度贫困地区脱贫产业发展规划，精确瞄准建档立卡贫困户，倾斜信贷资源，持续加大扶贫贷款投放力度。截至10月末，10个深度贫困县扶贫小额信贷余额达11.58亿元，支持2.69万户贫困户发展生产。</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强化构建绩效考核、调研督导、正向激励机制</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cs="仿宋_GB2312"/>
          <w:sz w:val="32"/>
          <w:szCs w:val="32"/>
          <w:u w:val="none" w:color="auto"/>
          <w:lang w:val="en-US" w:eastAsia="zh-CN"/>
        </w:rPr>
        <w:t>山西</w:t>
      </w:r>
      <w:r>
        <w:rPr>
          <w:rFonts w:hint="eastAsia" w:ascii="仿宋_GB2312" w:hAnsi="仿宋_GB2312" w:eastAsia="仿宋_GB2312" w:cs="仿宋_GB2312"/>
          <w:sz w:val="32"/>
          <w:szCs w:val="32"/>
          <w:u w:val="none" w:color="auto"/>
          <w:lang w:val="en-US" w:eastAsia="zh-CN"/>
        </w:rPr>
        <w:t>省</w:t>
      </w:r>
      <w:r>
        <w:rPr>
          <w:rFonts w:hint="eastAsia" w:ascii="仿宋_GB2312" w:hAnsi="仿宋_GB2312" w:cs="仿宋_GB2312"/>
          <w:sz w:val="32"/>
          <w:szCs w:val="32"/>
          <w:u w:val="none" w:color="auto"/>
          <w:lang w:val="en-US" w:eastAsia="zh-CN"/>
        </w:rPr>
        <w:t>联</w:t>
      </w:r>
      <w:r>
        <w:rPr>
          <w:rFonts w:hint="eastAsia" w:ascii="仿宋_GB2312" w:hAnsi="仿宋_GB2312" w:eastAsia="仿宋_GB2312" w:cs="仿宋_GB2312"/>
          <w:sz w:val="32"/>
          <w:szCs w:val="32"/>
          <w:u w:val="none" w:color="auto"/>
          <w:lang w:val="en-US" w:eastAsia="zh-CN"/>
        </w:rPr>
        <w:t>社持续推进高质量发展，在“七专机制”和“八项举措”的基础上，强化绩效考核机制、强化调研督导机制、强化正向激励机制，为金融精准扶贫夯实了机制保障。在前期出台扶贫考核办法和考核方案的基础上，加大对金融助力脱贫攻坚等的考核力度，采取对市县两级机构按季考核的方式，并将考核结果实施奖惩挂钩。此外，经常对扶贫工作开展调研、督导、检查，深入推进扶贫领域作风建设，下发督办意见22期，督促市县两级机构积极开展扶贫工作，确保扶贫工作扎实推进、风险可控、成效明显。</w:t>
      </w:r>
      <w:r>
        <w:rPr>
          <w:rFonts w:hint="eastAsia" w:ascii="仿宋_GB2312" w:hAnsi="仿宋_GB2312" w:cs="仿宋_GB2312"/>
          <w:sz w:val="32"/>
          <w:szCs w:val="32"/>
          <w:u w:val="none" w:color="auto"/>
          <w:lang w:val="en-US" w:eastAsia="zh-CN"/>
        </w:rPr>
        <w:t>省联社</w:t>
      </w:r>
      <w:r>
        <w:rPr>
          <w:rFonts w:hint="eastAsia" w:ascii="仿宋_GB2312" w:hAnsi="仿宋_GB2312" w:eastAsia="仿宋_GB2312" w:cs="仿宋_GB2312"/>
          <w:sz w:val="32"/>
          <w:szCs w:val="32"/>
          <w:u w:val="none" w:color="auto"/>
          <w:lang w:val="en-US" w:eastAsia="zh-CN"/>
        </w:rPr>
        <w:t>还依托出台的尽职免责办法，抓住“减压”“松绑”环节，减轻广大客户经理的思想包袱，充分调动客户经理放贷积极性；用好扶贫奖励政策，抓住“加油”关键环节，激发各级机构和员工的扶贫工作积极性；表彰40个扶贫小额信贷和产业扶贫先进单位、100名扶贫小额信贷优秀客户经理，充分调动全系统的工作积极性。</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用足用好扶贫周转金、扶贫再贷款等优惠政策</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在金融扶贫过程中，</w:t>
      </w:r>
      <w:r>
        <w:rPr>
          <w:rFonts w:hint="eastAsia" w:ascii="仿宋_GB2312" w:hAnsi="仿宋_GB2312" w:cs="仿宋_GB2312"/>
          <w:sz w:val="32"/>
          <w:szCs w:val="32"/>
          <w:u w:val="none" w:color="auto"/>
          <w:lang w:val="en-US" w:eastAsia="zh-CN"/>
        </w:rPr>
        <w:t>省联社</w:t>
      </w:r>
      <w:r>
        <w:rPr>
          <w:rFonts w:hint="eastAsia" w:ascii="仿宋_GB2312" w:hAnsi="仿宋_GB2312" w:eastAsia="仿宋_GB2312" w:cs="仿宋_GB2312"/>
          <w:sz w:val="32"/>
          <w:szCs w:val="32"/>
          <w:u w:val="none" w:color="auto"/>
          <w:lang w:val="en-US" w:eastAsia="zh-CN"/>
        </w:rPr>
        <w:t>结合当地扶贫产业规划，充分利用优惠政策，倾斜信贷资源，持续推动扶贫贷款增量扩面。扶贫周转金采取“统一名单、统一文本、统一账户、统一利率、统一流程”的管理运作模式，严格遵循“委托贷款+自营贷款”发放流程，撬动扶贫周转金，持续加大产业扶贫信贷投放。截至10月末，产业扶贫周转金贷款业务已推广至全省58家贫困县，共向50户涉农企业投放扶贫周转金贷款4.69亿元，其中：委托贷款1.54亿元，自营贷款3.15亿元，对5355户贫困户具有产业带动作用。与此同时，</w:t>
      </w:r>
      <w:r>
        <w:rPr>
          <w:rFonts w:hint="eastAsia" w:ascii="仿宋_GB2312" w:hAnsi="仿宋_GB2312" w:cs="仿宋_GB2312"/>
          <w:sz w:val="32"/>
          <w:szCs w:val="32"/>
          <w:u w:val="none" w:color="auto"/>
          <w:lang w:val="en-US" w:eastAsia="zh-CN"/>
        </w:rPr>
        <w:t>省联社</w:t>
      </w:r>
      <w:r>
        <w:rPr>
          <w:rFonts w:hint="eastAsia" w:ascii="仿宋_GB2312" w:hAnsi="仿宋_GB2312" w:eastAsia="仿宋_GB2312" w:cs="仿宋_GB2312"/>
          <w:sz w:val="32"/>
          <w:szCs w:val="32"/>
          <w:u w:val="none" w:color="auto"/>
          <w:lang w:val="en-US" w:eastAsia="zh-CN"/>
        </w:rPr>
        <w:t>加强与当地人民银行的沟通力度，积极争取更多的扶贫再贷款等货币政策工具，扩大低成本放款资金来源，壮大资金实力。截至10月末，支农、扶贫再贷款余额达96.9亿元，其中深度贫困县支农、扶贫再贷款余额达11.91亿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964" w:firstLineChars="1700"/>
        <w:jc w:val="both"/>
        <w:textAlignment w:val="auto"/>
        <w:outlineLvl w:val="9"/>
        <w:rPr>
          <w:rFonts w:hint="eastAsia" w:asciiTheme="minorEastAsia" w:hAnsiTheme="minorEastAsia"/>
          <w:sz w:val="24"/>
          <w:szCs w:val="24"/>
        </w:rPr>
      </w:pPr>
      <w:r>
        <w:rPr>
          <w:rFonts w:hint="eastAsia" w:ascii="楷体" w:hAnsi="楷体" w:eastAsia="楷体" w:cs="Calibri"/>
          <w:spacing w:val="-4"/>
          <w:sz w:val="30"/>
          <w:szCs w:val="30"/>
          <w:lang w:val="en-US" w:eastAsia="zh-CN"/>
        </w:rPr>
        <w:t>（山西省联社供稿）</w:t>
      </w:r>
    </w:p>
    <w:p>
      <w:pPr>
        <w:spacing w:line="360" w:lineRule="auto"/>
        <w:ind w:firstLine="720" w:firstLineChars="200"/>
        <w:contextualSpacing/>
        <w:rPr>
          <w:rFonts w:hint="eastAsia" w:ascii="仿宋_GB2312" w:hAnsi="仿宋_GB2312" w:eastAsia="仿宋_GB2312" w:cs="仿宋_GB2312"/>
          <w:sz w:val="30"/>
          <w:szCs w:val="30"/>
          <w:lang w:val="en-US" w:eastAsia="zh-CN"/>
        </w:rPr>
      </w:pPr>
      <w:r>
        <w:rPr>
          <w:rFonts w:hint="eastAsia" w:ascii="黑体" w:hAnsi="黑体" w:eastAsia="黑体" w:cs="黑体"/>
          <w:kern w:val="2"/>
          <w:sz w:val="36"/>
          <w:szCs w:val="36"/>
          <w:lang w:val="en-US" w:eastAsia="zh-CN" w:bidi="ar-SA"/>
        </w:rPr>
        <w:t>邮储银行山西省分行完成扶贫小额贷款投放任务</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截至12月6日，全行提前完成省脱贫攻坚领导小组下达的6亿元投放目标，完成率100.08%。</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今年以来，</w:t>
      </w:r>
      <w:r>
        <w:rPr>
          <w:rFonts w:hint="eastAsia" w:ascii="仿宋_GB2312" w:hAnsi="仿宋_GB2312" w:cs="仿宋_GB2312"/>
          <w:sz w:val="32"/>
          <w:szCs w:val="32"/>
          <w:u w:val="none" w:color="auto"/>
          <w:lang w:val="en-US" w:eastAsia="zh-CN"/>
        </w:rPr>
        <w:t>邮储</w:t>
      </w:r>
      <w:r>
        <w:rPr>
          <w:rFonts w:hint="eastAsia" w:ascii="仿宋_GB2312" w:hAnsi="仿宋_GB2312" w:eastAsia="仿宋_GB2312" w:cs="仿宋_GB2312"/>
          <w:sz w:val="32"/>
          <w:szCs w:val="32"/>
          <w:u w:val="none" w:color="auto"/>
          <w:lang w:val="en-US" w:eastAsia="zh-CN"/>
        </w:rPr>
        <w:t>各级行从讲政治的高度出发，把金融扶贫、特别是扶贫小额信贷，作为首要的重中之重工作，持续加大对贫困地区、贫困人口的金融支持力度。一是提高政治站位，加强组织领导。省、市分行成立金融扶贫开发领导小组，实施一把手责任制，在58个贫困县支行设立督办员，扎实推进各项工作落实。二是压实责任，加大考核。将扶贫小额贷款业务发展纳入年度机构绩效考核和对市县行领导监察考核，与分支行评先评优挂钩。投放任务逐级分解到县支行。出台针对性的考核办法，对各项考核指标实行时间倒排、任务倒逼、责任倒追，盯人、盯事、盯结果，压实责任。三是加大督导，完善工作机制。出台工作指导意见，制定11项具体措施，按周督导、月总结、季通报的督导机制，对投放慢、责任区域内建档立卡贫困户宣传和走访不到位的分支行，逐级对领导干部进行约谈。同时督导分支行每月至少召开一次扶贫小额信贷业务问题分析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12" w:firstLineChars="11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（邮储银行山西省分行供稿）</w:t>
      </w:r>
    </w:p>
    <w:p>
      <w:pPr>
        <w:jc w:val="center"/>
        <w:rPr>
          <w:rFonts w:hint="eastAsia" w:ascii="仿宋_GB2312" w:hAnsi="仿宋_GB2312" w:eastAsia="仿宋_GB2312" w:cs="仿宋_GB2312"/>
          <w:sz w:val="32"/>
          <w:szCs w:val="32"/>
        </w:rPr>
      </w:pPr>
      <w:r>
        <w:rPr>
          <w:rFonts w:hint="eastAsia" w:ascii="黑体" w:hAnsi="黑体" w:eastAsia="黑体" w:cs="黑体"/>
          <w:kern w:val="2"/>
          <w:sz w:val="36"/>
          <w:szCs w:val="36"/>
          <w:lang w:val="en-US" w:eastAsia="zh-CN" w:bidi="ar-SA"/>
        </w:rPr>
        <w:fldChar w:fldCharType="begin"/>
      </w:r>
      <w:r>
        <w:rPr>
          <w:rFonts w:hint="eastAsia" w:ascii="黑体" w:hAnsi="黑体" w:eastAsia="黑体" w:cs="黑体"/>
          <w:kern w:val="2"/>
          <w:sz w:val="36"/>
          <w:szCs w:val="36"/>
          <w:lang w:val="en-US" w:eastAsia="zh-CN" w:bidi="ar-SA"/>
        </w:rPr>
        <w:instrText xml:space="preserve"> HYPERLINK "http://www.so.com/link?m=auK//uulbZenX70BAPtNM4AaPNurNQnJ4UWozfuEr7ZoJJs0yC+KNsa8aZ3mAK6jBhm4G5t2D9zJBfKKxTbyHA5uuzbBDo3gVOOqqzAYFwoZv3c9uO8VHGrsQI/ML0Nkl6RJJyQHeBu8MDvTmTo7k4d+3rtlU/o8ZnophMiqdACNT7uRGoXjF788xMOKR0DWnqshW8HeNEynkMcJcTWtY45vs4Hpmrv5Wz3yCHhjw4VuB7HWaX2DerF815de9vZpcC5z8O1GUTxEL/CRVMYuOyS8me1t8QT1FsvoDhm7ZsSpGLSRCD93ohiJ2tuGtKGcUFkzBpA==" \t "https://www.so.com/_blank" </w:instrText>
      </w:r>
      <w:r>
        <w:rPr>
          <w:rFonts w:hint="eastAsia" w:ascii="黑体" w:hAnsi="黑体" w:eastAsia="黑体" w:cs="黑体"/>
          <w:kern w:val="2"/>
          <w:sz w:val="36"/>
          <w:szCs w:val="36"/>
          <w:lang w:val="en-US" w:eastAsia="zh-CN" w:bidi="ar-SA"/>
        </w:rPr>
        <w:fldChar w:fldCharType="separate"/>
      </w:r>
      <w:r>
        <w:rPr>
          <w:rFonts w:hint="eastAsia" w:ascii="黑体" w:hAnsi="黑体" w:eastAsia="黑体" w:cs="黑体"/>
          <w:kern w:val="2"/>
          <w:sz w:val="36"/>
          <w:szCs w:val="36"/>
          <w:lang w:val="en-US" w:eastAsia="zh-CN" w:bidi="ar-SA"/>
        </w:rPr>
        <w:t>助力民营企业  晋商银行在行动</w:t>
      </w:r>
      <w:r>
        <w:rPr>
          <w:rFonts w:hint="eastAsia" w:ascii="黑体" w:hAnsi="黑体" w:eastAsia="黑体" w:cs="黑体"/>
          <w:kern w:val="2"/>
          <w:sz w:val="36"/>
          <w:szCs w:val="36"/>
          <w:lang w:val="en-US" w:eastAsia="zh-CN" w:bidi="ar-SA"/>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12月14日，伴随着第二笔融资贷款的顺利落地，晋商银行已向深圳茂业集团子公司山西茂业本年累计发放公司贷款超过11亿元。作为山西本土银行，近年来晋商银行主动适应区域经济结构调整和经济增长方式转型的需要，聚焦民营企业尤其是小微企业融资难、融资贵问题，出实招、做实功，通过保障融资总量、优化信贷结构、创新服务模式、降低融资成本等手段，多措并举扎实助力民营、小微企业健康发展，全面服务实体经济。</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作为我国经济特区优秀民营企业代表，深圳茂业集团入晋10年以来，对我省经济转型发展起到了强力的助推器作用。晋商银行与深圳茂业集团的深度合作模式，以“公私联动”为切入点，通过公司综合授信业务带动零售相关业务发展，全方位聚焦企业融资需求，实地解决企业融资难题，为企业量身定做融资方案，助力企业发展。</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hAnsi="仿宋_GB2312" w:eastAsia="仿宋_GB2312" w:cs="仿宋_GB2312"/>
          <w:sz w:val="32"/>
          <w:szCs w:val="32"/>
          <w:u w:val="none" w:color="auto"/>
          <w:lang w:val="en-US" w:eastAsia="zh-CN"/>
        </w:rPr>
        <w:t>近日，晋商银行召开支持民营企业发展动员会，出台了《关于支持民营企业发展的实施意见》，制定“十个专项措施”，依托“升级版”的金融供给，以开展供应链金融为主要抓手，调动一切力量全力支持山西省民营和小微企业健康发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672" w:firstLineChars="16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（晋商银行供稿）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Calibri"/>
          <w:spacing w:val="-4"/>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672" w:firstLineChars="1600"/>
        <w:jc w:val="both"/>
        <w:textAlignment w:val="auto"/>
        <w:outlineLvl w:val="9"/>
        <w:rPr>
          <w:rFonts w:hint="eastAsia" w:ascii="楷体" w:hAnsi="楷体" w:eastAsia="楷体" w:cs="Calibri"/>
          <w:spacing w:val="-4"/>
          <w:sz w:val="30"/>
          <w:szCs w:val="30"/>
          <w:lang w:val="en-US" w:eastAsia="zh-CN"/>
        </w:rPr>
      </w:pPr>
    </w:p>
    <w:p>
      <w:pPr>
        <w:spacing w:line="560" w:lineRule="exact"/>
        <w:ind w:firstLine="2880" w:firstLineChars="800"/>
        <w:jc w:val="both"/>
        <w:rPr>
          <w:rFonts w:hint="eastAsia"/>
        </w:rPr>
      </w:pPr>
      <w:r>
        <w:rPr>
          <w:rFonts w:hint="eastAsia" w:ascii="方正小标宋简体" w:eastAsia="方正小标宋简体"/>
          <w:bCs/>
          <w:sz w:val="36"/>
          <w:szCs w:val="32"/>
        </w:rPr>
        <w:t>简     讯</w:t>
      </w:r>
      <w:r>
        <w:rPr>
          <w:rFonts w:hint="eastAsia"/>
        </w:rPr>
        <w:t xml:space="preserve">    </w:t>
      </w:r>
    </w:p>
    <w:p>
      <w:pPr>
        <w:spacing w:line="560" w:lineRule="exact"/>
        <w:ind w:firstLine="2560" w:firstLineChars="800"/>
        <w:jc w:val="both"/>
        <w:rPr>
          <w:rFonts w:hint="eastAsia"/>
        </w:rPr>
      </w:pPr>
    </w:p>
    <w:p>
      <w:pPr>
        <w:spacing w:line="360" w:lineRule="auto"/>
        <w:jc w:val="both"/>
        <w:rPr>
          <w:rFonts w:hint="eastAsia" w:ascii="宋体" w:hAnsi="宋体"/>
          <w:sz w:val="24"/>
          <w:szCs w:val="24"/>
        </w:rPr>
      </w:pPr>
      <w:r>
        <w:rPr>
          <w:rFonts w:hint="eastAsia" w:ascii="楷体" w:hAnsi="楷体" w:eastAsia="楷体"/>
          <w:b/>
          <w:color w:val="000000"/>
          <w:sz w:val="30"/>
          <w:szCs w:val="30"/>
          <w:lang w:val="en-US" w:eastAsia="zh-CN"/>
        </w:rPr>
        <w:t>◆山西省联社全力以赴支持小微企业健康发展</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 山西</w:t>
      </w:r>
      <w:r>
        <w:rPr>
          <w:rFonts w:hint="eastAsia" w:ascii="仿宋_GB2312" w:hAnsi="仿宋_GB2312" w:cs="仿宋_GB2312"/>
          <w:sz w:val="32"/>
          <w:szCs w:val="32"/>
          <w:u w:val="none" w:color="auto"/>
          <w:lang w:val="en-US" w:eastAsia="zh-CN"/>
        </w:rPr>
        <w:t>省联社</w:t>
      </w:r>
      <w:r>
        <w:rPr>
          <w:rFonts w:hint="eastAsia" w:ascii="仿宋_GB2312" w:hAnsi="仿宋_GB2312" w:eastAsia="仿宋_GB2312" w:cs="仿宋_GB2312"/>
          <w:sz w:val="32"/>
          <w:szCs w:val="32"/>
          <w:u w:val="none" w:color="auto"/>
          <w:lang w:val="en-US" w:eastAsia="zh-CN"/>
        </w:rPr>
        <w:t>始终坚守“深耕三农、细作小微、精准扶贫、倾力重点”的战略定位，把小微企业发展放在重要位置，统筹单列全系统小微企业信贷计划400亿元，构建机制激发全系统支持小微内生动力，创优服务改善小微企业融资环境，减费让利降低小微企业融资负担，多方合作拓宽小微企业融资渠道，让小微企业实实在在获利。</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山西</w:t>
      </w:r>
      <w:r>
        <w:rPr>
          <w:rFonts w:hint="eastAsia" w:ascii="仿宋_GB2312" w:hAnsi="仿宋_GB2312" w:cs="仿宋_GB2312"/>
          <w:sz w:val="32"/>
          <w:szCs w:val="32"/>
          <w:u w:val="none" w:color="auto"/>
          <w:lang w:val="en-US" w:eastAsia="zh-CN"/>
        </w:rPr>
        <w:t>省联社</w:t>
      </w:r>
      <w:r>
        <w:rPr>
          <w:rFonts w:hint="eastAsia" w:ascii="仿宋_GB2312" w:hAnsi="仿宋_GB2312" w:eastAsia="仿宋_GB2312" w:cs="仿宋_GB2312"/>
          <w:sz w:val="32"/>
          <w:szCs w:val="32"/>
          <w:u w:val="none" w:color="auto"/>
          <w:lang w:val="en-US" w:eastAsia="zh-CN"/>
        </w:rPr>
        <w:t>扎实推进金融回归本源服务实体经济，减免账户管理、电子银行业务等方面的58项费用，加强对信贷业务抵押品评估及登记费的规范管理，减免客户的贷款评估及抵押登记费用。坚持“让利小微客户”的发展思路，合理开展利率定价，今年三季度全系统小微贷款平均贷款利率较二季度下降0.65个百分点；努力扩大低成本资金来源，积极使用人民银行的再贷款再贴现资金，截至10月底全系统支农支小再贷款、再贴现总余额较年初增加36.91亿元。此外，广泛拓展合作渠道，深化开展银税合作，依托“银税合作”平台发放小微企业贷款1634户，贷款金额120.27亿元；积极开展银担合作，累计合作投放贷款3.76亿元，支持近千户小微企业发展；探索开展银保合作，推出“安贷宝”等系列产品，有效分散客户风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256" w:firstLineChars="1800"/>
        <w:jc w:val="both"/>
        <w:textAlignment w:val="auto"/>
        <w:outlineLvl w:val="9"/>
        <w:rPr>
          <w:rFonts w:hint="eastAsia" w:ascii="楷体" w:hAnsi="楷体" w:eastAsia="楷体"/>
          <w:b/>
          <w:color w:val="000000"/>
          <w:sz w:val="30"/>
          <w:szCs w:val="30"/>
        </w:rPr>
      </w:pPr>
      <w:r>
        <w:rPr>
          <w:rFonts w:hint="eastAsia" w:ascii="楷体" w:hAnsi="楷体" w:eastAsia="楷体" w:cs="Calibri"/>
          <w:spacing w:val="-4"/>
          <w:sz w:val="30"/>
          <w:szCs w:val="30"/>
          <w:lang w:val="en-US" w:eastAsia="zh-CN"/>
        </w:rPr>
        <w:t>（山西省联社供稿）</w:t>
      </w:r>
      <w:r>
        <w:rPr>
          <w:rFonts w:hint="eastAsia"/>
        </w:rPr>
        <w:t xml:space="preserve">          </w:t>
      </w:r>
      <w:r>
        <w:rPr>
          <w:rFonts w:hint="eastAsia" w:ascii="楷体" w:hAnsi="楷体" w:eastAsia="楷体"/>
          <w:b/>
          <w:color w:val="000000"/>
          <w:sz w:val="30"/>
          <w:szCs w:val="30"/>
          <w:lang w:val="en-US" w:eastAsia="zh-CN"/>
        </w:rPr>
        <w:t xml:space="preserve">                 </w:t>
      </w:r>
    </w:p>
    <w:p>
      <w:pPr>
        <w:jc w:val="both"/>
        <w:rPr>
          <w:rFonts w:ascii="仿宋_GB2312" w:hAnsi="宋体" w:eastAsia="仿宋_GB2312" w:cs="Times New Roman"/>
          <w:b/>
          <w:kern w:val="0"/>
          <w:sz w:val="32"/>
          <w:szCs w:val="32"/>
        </w:rPr>
      </w:pPr>
      <w:r>
        <w:rPr>
          <w:rFonts w:hint="eastAsia" w:ascii="楷体" w:hAnsi="楷体" w:eastAsia="楷体"/>
          <w:b/>
          <w:color w:val="000000"/>
          <w:sz w:val="30"/>
          <w:szCs w:val="30"/>
          <w:lang w:val="en-US" w:eastAsia="zh-CN"/>
        </w:rPr>
        <w:t>◆招商银行太原分行圆满完成扶贫小额贷款任务</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 2018年11月7日，招商银行太原分行对首个扶贫“特殊政策”项下1170万扶贫小额贷款全部实现投放，提前完成山西省监管机构下达的扶贫小额贷款任务。在将近两个月的时间里，该行先后联系8个乡镇、40个村庄、调查400余户贫困人口，行程2000多公里，搜集客户资料200余户，完成村、乡（镇）、县的资格审定，同时，建立了信贷团队、分行业务处理中心、总行审批三级联动机制，加快了业务的流转效率。最终，在时间短、任务重的情况下，太原分行在11月7日圆满完成分行小额扶贫贷款的投放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380" w:firstLineChars="15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（招商银行太原分行供稿）</w:t>
      </w:r>
    </w:p>
    <w:p>
      <w:pPr>
        <w:jc w:val="both"/>
        <w:rPr>
          <w:rFonts w:hint="eastAsia" w:ascii="方正小标宋简体" w:hAnsi="方正小标宋简体" w:eastAsia="方正小标宋简体" w:cs="方正小标宋简体"/>
          <w:sz w:val="36"/>
          <w:szCs w:val="36"/>
        </w:rPr>
      </w:pPr>
      <w:r>
        <w:rPr>
          <w:rFonts w:hint="eastAsia" w:ascii="楷体" w:hAnsi="楷体" w:eastAsia="楷体"/>
          <w:b/>
          <w:color w:val="000000"/>
          <w:sz w:val="30"/>
          <w:szCs w:val="30"/>
          <w:lang w:val="en-US" w:eastAsia="zh-CN"/>
        </w:rPr>
        <w:t>◆大同北都农商银行为民营企业送“及时雨”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大同北都农商银行立足时代大背景，正确认识小微、民营企业在推动社会主义市场经济发展的重要作用，积极践行“回归本源，支持实体经济”的服务宗旨，全力支持民营企业发展。为小微及民营企业送去“及时雨”，坚持不抽贷、不断贷、不压贷，着力推动地方民营企业快速发展。</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截至目前，该行支持民营企业贷款875户、金额61.44亿元，占比65.21%，其中支持民营小微企业233户、金额55.66亿元；支持个体工商户、小微企业主642户、金额5.78亿元，有效缓解企业融资难和融资贵问题，民营企业支持力度持续增强。下一步，该行将积极围绕支持民营企业政策，创新金融产品和服务，探索业务模式，多措并举降低企业融资成本，为破解民营企业融资难题贡献力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964" w:firstLineChars="17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楷体" w:hAnsi="楷体" w:eastAsia="楷体" w:cs="Calibri"/>
          <w:spacing w:val="-4"/>
          <w:sz w:val="30"/>
          <w:szCs w:val="30"/>
          <w:lang w:val="en-US" w:eastAsia="zh-CN"/>
        </w:rPr>
        <w:t>（山西省联社供稿）</w:t>
      </w:r>
    </w:p>
    <w:p>
      <w:pPr>
        <w:jc w:val="both"/>
        <w:rPr>
          <w:rFonts w:hint="eastAsia" w:ascii="楷体" w:hAnsi="楷体" w:eastAsia="楷体"/>
          <w:b/>
          <w:color w:val="000000"/>
          <w:sz w:val="30"/>
          <w:szCs w:val="30"/>
          <w:lang w:val="en-US" w:eastAsia="zh-CN"/>
        </w:rPr>
      </w:pPr>
      <w:r>
        <w:rPr>
          <w:rFonts w:hint="eastAsia" w:ascii="楷体" w:hAnsi="楷体" w:eastAsia="楷体"/>
          <w:b/>
          <w:color w:val="000000"/>
          <w:sz w:val="30"/>
          <w:szCs w:val="30"/>
          <w:lang w:val="en-US" w:eastAsia="zh-CN"/>
        </w:rPr>
        <w:t>◆晋商银行荣获“2018年直销银行创新应用奖”</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12月13日，由中国金融认证中心（CFCA）联合近百家银行携手举办的“2018年聚焦银行金融创新峰会”暨第十四届中国电子银行年度盛典在北京隆重举行，揭晓了“中国电子银行金榜奖 ”各奖项，晋商银行直销银行荣获全国“2018年直销银行创新应用奖”。</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964" w:firstLineChars="17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（晋商银行供稿）</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0" w:leftChars="0" w:right="0" w:rightChars="0" w:firstLine="640" w:firstLineChars="200"/>
        <w:jc w:val="both"/>
        <w:textAlignment w:val="auto"/>
        <w:outlineLvl w:val="9"/>
        <w:rPr>
          <w:rFonts w:hint="eastAsia" w:ascii="仿宋_GB2312" w:hAnsi="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auto"/>
        <w:outlineLvl w:val="9"/>
        <w:rPr>
          <w:rFonts w:hint="eastAsia" w:ascii="仿宋_GB2312" w:hAnsi="仿宋_GB2312" w:cs="仿宋_GB2312"/>
          <w:sz w:val="32"/>
          <w:szCs w:val="32"/>
          <w:u w:val="none" w:color="auto"/>
          <w:lang w:val="en-US" w:eastAsia="zh-CN"/>
        </w:rPr>
      </w:pPr>
      <w:bookmarkStart w:id="0" w:name="_GoBack"/>
      <w:bookmarkEnd w:id="0"/>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spacing w:line="400" w:lineRule="exact"/>
        <w:rPr>
          <w:rFonts w:hint="eastAsia" w:eastAsia="黑体"/>
          <w:color w:val="000000"/>
          <w:sz w:val="21"/>
        </w:rPr>
      </w:pPr>
      <w:r>
        <w:rPr>
          <w:rFonts w:hint="eastAsia" w:eastAsia="黑体"/>
          <w:color w:val="000000"/>
          <w:sz w:val="21"/>
        </w:rPr>
        <w:t>发送：山西银监局局领导、各处室，各银监分局。</w:t>
      </w:r>
    </w:p>
    <w:p>
      <w:pPr>
        <w:pBdr>
          <w:bottom w:val="single" w:color="auto" w:sz="6" w:space="0"/>
        </w:pBdr>
        <w:spacing w:line="400" w:lineRule="exact"/>
        <w:rPr>
          <w:rFonts w:eastAsia="黑体"/>
          <w:color w:val="000000"/>
          <w:sz w:val="21"/>
        </w:rPr>
      </w:pPr>
      <w:r>
        <w:rPr>
          <w:rFonts w:eastAsia="黑体"/>
          <w:color w:val="000000"/>
          <w:sz w:val="21"/>
        </w:rPr>
        <w:t xml:space="preserve">      </w:t>
      </w:r>
      <w:r>
        <w:rPr>
          <w:rFonts w:hint="eastAsia" w:eastAsia="黑体"/>
          <w:color w:val="000000"/>
          <w:sz w:val="21"/>
        </w:rPr>
        <w:t>中国银行业协会，各会员单位，会长、专职副会长、副会长、监事长、正副秘书长、秘书处各部。</w:t>
      </w:r>
    </w:p>
    <w:p>
      <w:pPr>
        <w:tabs>
          <w:tab w:val="left" w:pos="6531"/>
        </w:tabs>
        <w:spacing w:line="400" w:lineRule="exact"/>
        <w:ind w:firstLine="222" w:firstLineChars="106"/>
      </w:pPr>
      <w:r>
        <w:rPr>
          <w:rFonts w:hint="eastAsia" w:eastAsia="黑体"/>
          <w:color w:val="000000"/>
          <w:sz w:val="21"/>
        </w:rPr>
        <w:t>编校：</w:t>
      </w:r>
      <w:r>
        <w:rPr>
          <w:rFonts w:hint="eastAsia" w:eastAsia="黑体"/>
          <w:color w:val="000000"/>
          <w:sz w:val="21"/>
          <w:lang w:val="en-US" w:eastAsia="zh-CN"/>
        </w:rPr>
        <w:t>郝乾良</w:t>
      </w:r>
      <w:r>
        <w:rPr>
          <w:rFonts w:eastAsia="黑体"/>
          <w:color w:val="000000"/>
          <w:sz w:val="21"/>
        </w:rPr>
        <w:t xml:space="preserve">                                                    </w:t>
      </w:r>
      <w:r>
        <w:rPr>
          <w:rFonts w:hint="eastAsia" w:eastAsia="黑体"/>
          <w:color w:val="000000"/>
          <w:sz w:val="21"/>
        </w:rPr>
        <w:t>共印：</w:t>
      </w:r>
      <w:r>
        <w:rPr>
          <w:rFonts w:eastAsia="黑体"/>
          <w:color w:val="000000"/>
          <w:sz w:val="21"/>
        </w:rPr>
        <w:t>80</w:t>
      </w:r>
      <w:r>
        <w:rPr>
          <w:rFonts w:hint="eastAsia" w:eastAsia="黑体"/>
          <w:color w:val="000000"/>
          <w:sz w:val="21"/>
        </w:rPr>
        <w:t>份</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7093"/>
    <w:multiLevelType w:val="multilevel"/>
    <w:tmpl w:val="6DC27093"/>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766E9"/>
    <w:rsid w:val="09150C3F"/>
    <w:rsid w:val="095302D2"/>
    <w:rsid w:val="0B826C2B"/>
    <w:rsid w:val="0C2B2EEB"/>
    <w:rsid w:val="142B5E90"/>
    <w:rsid w:val="2198300D"/>
    <w:rsid w:val="21A24D84"/>
    <w:rsid w:val="224829A9"/>
    <w:rsid w:val="23981591"/>
    <w:rsid w:val="246E5A45"/>
    <w:rsid w:val="2A616BA1"/>
    <w:rsid w:val="388A00BD"/>
    <w:rsid w:val="3AF71231"/>
    <w:rsid w:val="3D343DC4"/>
    <w:rsid w:val="42D766E9"/>
    <w:rsid w:val="45D86EF5"/>
    <w:rsid w:val="49765513"/>
    <w:rsid w:val="4A5B6D05"/>
    <w:rsid w:val="4D9A36B1"/>
    <w:rsid w:val="569D682B"/>
    <w:rsid w:val="6D3D34BA"/>
    <w:rsid w:val="742F4813"/>
    <w:rsid w:val="74B16468"/>
    <w:rsid w:val="7A9C10A0"/>
    <w:rsid w:val="7DD3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2018-12-25T01:41:00Z</dcterms:created>
  <dc:creator>无疆无界</dc:creator>
  <cp:lastModifiedBy>Lenovo</cp:lastModifiedBy>
  <cp:lastPrinted>2018-12-27T03:13:00Z</cp:lastPrinted>
  <dcterms:modified xsi:type="dcterms:W3CDTF">2018-12-28T02:07:31Z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