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1" w:beforeLines="50" w:line="600" w:lineRule="exact"/>
        <w:rPr>
          <w:rFonts w:hint="eastAsia" w:eastAsia="方正小标宋简体"/>
          <w:sz w:val="36"/>
        </w:rPr>
      </w:pPr>
      <w:r>
        <w:rPr>
          <w:rFonts w:hint="eastAsia" w:eastAsia="方正小标宋简体"/>
          <w:sz w:val="36"/>
        </w:rPr>
        <w:t xml:space="preserve">          </w:t>
      </w:r>
    </w:p>
    <w:p>
      <w:pPr>
        <w:spacing w:line="600" w:lineRule="exact"/>
        <w:rPr>
          <w:rFonts w:hint="eastAsia" w:eastAsia="方正小标宋简体"/>
          <w:sz w:val="36"/>
        </w:rPr>
      </w:pPr>
    </w:p>
    <w:p>
      <w:pPr>
        <w:spacing w:line="600" w:lineRule="exact"/>
        <w:rPr>
          <w:rFonts w:hint="eastAsia" w:eastAsia="方正小标宋简体"/>
          <w:sz w:val="36"/>
        </w:rPr>
      </w:pPr>
      <w:r>
        <w:rPr>
          <w:rFonts w:eastAsia="方正小标宋简体"/>
          <w:sz w:val="20"/>
        </w:rPr>
        <w:pict>
          <v:shape id="_x0000_s1026" o:spid="_x0000_s1026" o:spt="136" type="#_x0000_t136" style="position:absolute;left:0pt;margin-left:46.8pt;margin-top:15.05pt;height:42.25pt;width:357.65pt;mso-wrap-distance-left:9pt;mso-wrap-distance-right:9pt;z-index:-251657216;mso-width-relative:page;mso-height-relative:page;" fillcolor="#FF0000" filled="t" stroked="t" coordsize="21600,21600" wrapcoords="4903 0 4408 5336 4407 5351 4402 5397 4401 5411 4397 5425 4346 5815 4294 6201 4241 6583 4131 7324 4019 8026 3905 8689 3788 9312 3729 9609 3669 9896 3609 10174 3548 10442 3487 10700 3425 10948 3363 11186 3300 11415 3374 11931 4217 11933 4211 12551 3533 12553 3691 13759 4198 13761 4163 17870 4104 18228 4039 18556 3976 18820 3914 19022 3825 19205 3992 21333 6050 21335 6159 21512 6175 21512 6189 21428 12116 21426 12201 21162 13688 21160 13782 20951 13863 20733 16160 20731 17108 20727 17243 20562 17329 20301 17380 20061 17425 19769 17464 19424 17414 19092 17362 18873 17369 18869 17914 18867 17971 18537 17994 18288 18013 17979 18027 17611 18031 17312 18022 17013 17994 16614 17972 16415 17945 16215 17913 16015 17875 15809 17829 15587 17776 15352 17715 15102 17647 14838 17571 14559 17488 14266 17397 13958 16586 13956 16564 13904 16459 13561 16427 13446 16625 13444 16686 13268 17924 13266 17937 13048 17969 12758 18020 12513 18115 12256 18241 12079 18088 11256 17932 11057 17826 10878 17719 10661 17611 10406 17502 10114 17392 9784 17283 9411 17230 9206 17179 8989 17128 8761 17079 8520 17031 8266 16984 8001 16938 7724 16893 7434 16850 7133 16807 6819 16766 6493 16726 6155 16687 5805 16657 5445 18168 5443 17823 3113 16566 3111 16587 2074 16736 1494 16281 173 4907 171 4919 0 4903 0">
            <v:path/>
            <v:fill on="t" focussize="0,0"/>
            <v:stroke weight="0.05pt" color="#FF0000"/>
            <v:imagedata o:title=""/>
            <o:lock v:ext="edit" grouping="f" rotation="f" text="f" aspectratio="f"/>
            <v:textpath on="t" fitshape="t" fitpath="t" trim="t" xscale="f" string="   会员动态   " style="font-family:方正小标宋简体;font-size:20pt;font-weight:bold;v-text-align:center;"/>
            <w10:wrap type="through"/>
          </v:shape>
        </w:pict>
      </w:r>
    </w:p>
    <w:p>
      <w:pPr>
        <w:spacing w:before="120" w:after="120" w:line="600" w:lineRule="exact"/>
        <w:rPr>
          <w:rFonts w:hint="eastAsia" w:eastAsia="方正小标宋简体"/>
          <w:sz w:val="36"/>
        </w:rPr>
      </w:pPr>
    </w:p>
    <w:p>
      <w:pPr>
        <w:spacing w:before="301" w:beforeLines="50" w:line="600" w:lineRule="exact"/>
        <w:jc w:val="center"/>
        <w:rPr>
          <w:rFonts w:hint="eastAsia" w:ascii="楷体" w:hAnsi="楷体" w:eastAsia="楷体"/>
          <w:sz w:val="30"/>
        </w:rPr>
      </w:pPr>
      <w:r>
        <w:rPr>
          <w:rFonts w:hint="eastAsia" w:ascii="楷体" w:hAnsi="楷体" w:eastAsia="楷体"/>
        </w:rPr>
        <w:t>201</w:t>
      </w:r>
      <w:r>
        <w:rPr>
          <w:rFonts w:hint="eastAsia" w:ascii="楷体" w:hAnsi="楷体" w:eastAsia="楷体"/>
          <w:lang w:val="en-US" w:eastAsia="zh-CN"/>
        </w:rPr>
        <w:t>9</w:t>
      </w:r>
      <w:r>
        <w:rPr>
          <w:rFonts w:hint="eastAsia" w:ascii="楷体" w:hAnsi="楷体" w:eastAsia="楷体"/>
        </w:rPr>
        <w:t>年第</w:t>
      </w:r>
      <w:r>
        <w:rPr>
          <w:rFonts w:hint="eastAsia" w:ascii="楷体" w:hAnsi="楷体" w:eastAsia="楷体"/>
          <w:lang w:val="en-US" w:eastAsia="zh-CN"/>
        </w:rPr>
        <w:t>6</w:t>
      </w:r>
      <w:r>
        <w:rPr>
          <w:rFonts w:hint="eastAsia" w:ascii="楷体" w:hAnsi="楷体" w:eastAsia="楷体"/>
        </w:rPr>
        <w:t>期（总第</w:t>
      </w:r>
      <w:r>
        <w:rPr>
          <w:rFonts w:hint="eastAsia" w:ascii="楷体" w:hAnsi="楷体" w:eastAsia="楷体"/>
          <w:lang w:val="en-US" w:eastAsia="zh-CN"/>
        </w:rPr>
        <w:t>226</w:t>
      </w:r>
      <w:r>
        <w:rPr>
          <w:rFonts w:hint="eastAsia" w:ascii="楷体" w:hAnsi="楷体" w:eastAsia="楷体"/>
        </w:rPr>
        <w:t>期）</w:t>
      </w:r>
    </w:p>
    <w:p>
      <w:pPr>
        <w:spacing w:before="301" w:beforeLines="50" w:line="600" w:lineRule="exact"/>
        <w:ind w:firstLine="300" w:firstLineChars="100"/>
        <w:rPr>
          <w:rFonts w:ascii="楷体" w:hAnsi="楷体" w:eastAsia="楷体"/>
          <w:sz w:val="30"/>
        </w:rPr>
      </w:pPr>
      <w:r>
        <w:rPr>
          <w:rFonts w:hint="eastAsia" w:ascii="楷体" w:hAnsi="楷体" w:eastAsia="楷体"/>
          <w:sz w:val="30"/>
        </w:rPr>
        <w:t>山西省银行业协会秘书处              201</w:t>
      </w:r>
      <w:r>
        <w:rPr>
          <w:rFonts w:hint="eastAsia" w:ascii="楷体" w:hAnsi="楷体" w:eastAsia="楷体"/>
          <w:sz w:val="30"/>
          <w:lang w:val="en-US" w:eastAsia="zh-CN"/>
        </w:rPr>
        <w:t>9</w:t>
      </w:r>
      <w:r>
        <w:rPr>
          <w:rFonts w:hint="eastAsia" w:ascii="楷体" w:hAnsi="楷体" w:eastAsia="楷体"/>
          <w:sz w:val="30"/>
        </w:rPr>
        <w:t>年</w:t>
      </w:r>
      <w:r>
        <w:rPr>
          <w:rFonts w:hint="eastAsia" w:ascii="楷体" w:hAnsi="楷体" w:eastAsia="楷体"/>
          <w:sz w:val="30"/>
          <w:lang w:val="en-US" w:eastAsia="zh-CN"/>
        </w:rPr>
        <w:t>4</w:t>
      </w:r>
      <w:r>
        <w:rPr>
          <w:rFonts w:hint="eastAsia" w:ascii="楷体" w:hAnsi="楷体" w:eastAsia="楷体"/>
          <w:sz w:val="30"/>
        </w:rPr>
        <w:t>月</w:t>
      </w:r>
      <w:r>
        <w:rPr>
          <w:rFonts w:hint="eastAsia" w:ascii="楷体" w:hAnsi="楷体" w:eastAsia="楷体"/>
          <w:sz w:val="30"/>
          <w:lang w:val="en-US" w:eastAsia="zh-CN"/>
        </w:rPr>
        <w:t>11</w:t>
      </w:r>
      <w:r>
        <w:rPr>
          <w:rFonts w:hint="eastAsia" w:ascii="楷体" w:hAnsi="楷体" w:eastAsia="楷体"/>
          <w:sz w:val="30"/>
        </w:rPr>
        <w:t>日</w:t>
      </w:r>
    </w:p>
    <w:tbl>
      <w:tblPr>
        <w:tblStyle w:val="6"/>
        <w:tblW w:w="8740" w:type="dxa"/>
        <w:tblInd w:w="14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7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0" w:hRule="atLeast"/>
        </w:trPr>
        <w:tc>
          <w:tcPr>
            <w:tcW w:w="8740" w:type="dxa"/>
            <w:tcBorders>
              <w:top w:val="single" w:color="FF0000" w:sz="4" w:space="0"/>
              <w:left w:val="nil"/>
              <w:bottom w:val="nil"/>
              <w:right w:val="nil"/>
            </w:tcBorders>
            <w:vAlign w:val="top"/>
          </w:tcPr>
          <w:p>
            <w:pPr>
              <w:spacing w:line="600" w:lineRule="exact"/>
              <w:ind w:left="-140"/>
              <w:rPr>
                <w:rFonts w:hint="eastAsia" w:eastAsia="方正小标宋简体"/>
                <w:sz w:val="36"/>
              </w:rPr>
            </w:pPr>
          </w:p>
        </w:tc>
      </w:tr>
    </w:tbl>
    <w:p>
      <w:pPr>
        <w:spacing w:line="600" w:lineRule="exact"/>
        <w:jc w:val="center"/>
        <w:rPr>
          <w:rFonts w:hint="eastAsia" w:ascii="方正小标宋简体" w:eastAsia="方正小标宋简体"/>
          <w:bCs/>
          <w:sz w:val="36"/>
          <w:szCs w:val="32"/>
        </w:rPr>
      </w:pPr>
      <w:r>
        <w:rPr>
          <w:rFonts w:hint="eastAsia" w:ascii="方正小标宋简体" w:eastAsia="方正小标宋简体"/>
          <w:bCs/>
          <w:sz w:val="36"/>
          <w:szCs w:val="32"/>
        </w:rPr>
        <w:t>本  期  目  录</w:t>
      </w:r>
    </w:p>
    <w:p>
      <w:pPr>
        <w:spacing w:line="600" w:lineRule="exact"/>
        <w:jc w:val="center"/>
        <w:rPr>
          <w:rFonts w:hint="eastAsia" w:ascii="方正小标宋简体" w:eastAsia="方正小标宋简体"/>
          <w:bCs/>
          <w:sz w:val="36"/>
          <w:szCs w:val="32"/>
          <w:lang w:val="en-US" w:eastAsia="zh-CN"/>
        </w:rPr>
      </w:pPr>
    </w:p>
    <w:p>
      <w:pPr>
        <w:numPr>
          <w:ilvl w:val="0"/>
          <w:numId w:val="1"/>
        </w:numPr>
        <w:spacing w:line="600" w:lineRule="exact"/>
        <w:rPr>
          <w:rFonts w:hint="eastAsia" w:ascii="仿宋" w:eastAsia="仿宋" w:hAnsiTheme="minorHAnsi" w:cstheme="minorBidi"/>
          <w:kern w:val="2"/>
          <w:sz w:val="30"/>
          <w:szCs w:val="30"/>
          <w:lang w:val="en-US" w:eastAsia="zh-CN" w:bidi="ar-SA"/>
        </w:rPr>
      </w:pPr>
      <w:r>
        <w:rPr>
          <w:rFonts w:hint="eastAsia" w:ascii="仿宋" w:eastAsia="仿宋" w:hAnsiTheme="minorHAnsi" w:cstheme="minorBidi"/>
          <w:kern w:val="2"/>
          <w:sz w:val="30"/>
          <w:szCs w:val="30"/>
          <w:lang w:val="en-US" w:eastAsia="zh-CN" w:bidi="ar-SA"/>
        </w:rPr>
        <w:t>农行山西省分行以实际行动落实山西省委“改革创新、奋发有为”大讨论</w:t>
      </w:r>
    </w:p>
    <w:p>
      <w:pPr>
        <w:numPr>
          <w:ilvl w:val="0"/>
          <w:numId w:val="1"/>
        </w:numPr>
        <w:spacing w:line="600" w:lineRule="exact"/>
        <w:rPr>
          <w:rFonts w:hint="eastAsia" w:ascii="仿宋" w:eastAsia="仿宋" w:hAnsiTheme="minorHAnsi" w:cstheme="minorBidi"/>
          <w:kern w:val="2"/>
          <w:sz w:val="30"/>
          <w:szCs w:val="30"/>
          <w:lang w:val="en-US" w:eastAsia="zh-CN" w:bidi="ar-SA"/>
        </w:rPr>
      </w:pPr>
      <w:r>
        <w:rPr>
          <w:rFonts w:hint="eastAsia" w:ascii="仿宋" w:eastAsia="仿宋" w:hAnsiTheme="minorHAnsi" w:cstheme="minorBidi"/>
          <w:kern w:val="2"/>
          <w:sz w:val="30"/>
          <w:szCs w:val="30"/>
          <w:lang w:val="en-US" w:eastAsia="zh-CN" w:bidi="ar-SA"/>
        </w:rPr>
        <w:t>中国银行山西省分行对公单位人民币结算账户突破10万户大关</w:t>
      </w:r>
    </w:p>
    <w:p>
      <w:pPr>
        <w:numPr>
          <w:ilvl w:val="0"/>
          <w:numId w:val="1"/>
        </w:numPr>
        <w:spacing w:line="600" w:lineRule="exact"/>
        <w:rPr>
          <w:rFonts w:hint="eastAsia" w:ascii="仿宋" w:eastAsia="仿宋" w:hAnsiTheme="minorHAnsi" w:cstheme="minorBidi"/>
          <w:kern w:val="2"/>
          <w:sz w:val="30"/>
          <w:szCs w:val="30"/>
          <w:lang w:val="en-US" w:eastAsia="zh-CN" w:bidi="ar-SA"/>
        </w:rPr>
      </w:pPr>
      <w:r>
        <w:rPr>
          <w:rFonts w:hint="eastAsia" w:ascii="仿宋" w:eastAsia="仿宋" w:hAnsiTheme="minorHAnsi" w:cstheme="minorBidi"/>
          <w:kern w:val="2"/>
          <w:sz w:val="30"/>
          <w:szCs w:val="30"/>
          <w:lang w:val="en-US" w:eastAsia="zh-CN" w:bidi="ar-SA"/>
        </w:rPr>
        <w:t>建设银行山西省分行积极开展消费者权益保护宣传教育活动</w:t>
      </w:r>
    </w:p>
    <w:p>
      <w:pPr>
        <w:numPr>
          <w:ilvl w:val="0"/>
          <w:numId w:val="1"/>
        </w:numPr>
        <w:spacing w:line="600" w:lineRule="exact"/>
        <w:rPr>
          <w:rFonts w:hint="eastAsia" w:ascii="仿宋" w:eastAsia="仿宋" w:hAnsiTheme="minorHAnsi" w:cstheme="minorBidi"/>
          <w:kern w:val="2"/>
          <w:sz w:val="30"/>
          <w:szCs w:val="30"/>
          <w:lang w:val="en-US" w:eastAsia="zh-CN" w:bidi="ar-SA"/>
        </w:rPr>
      </w:pPr>
      <w:r>
        <w:rPr>
          <w:rFonts w:hint="eastAsia" w:ascii="仿宋" w:eastAsia="仿宋" w:hAnsiTheme="minorHAnsi" w:cstheme="minorBidi"/>
          <w:kern w:val="2"/>
          <w:sz w:val="30"/>
          <w:szCs w:val="30"/>
          <w:lang w:val="en-US" w:eastAsia="zh-CN" w:bidi="ar-SA"/>
        </w:rPr>
        <w:t>大同银行出台十八条实施意见支持民营企业发展</w:t>
      </w:r>
    </w:p>
    <w:p>
      <w:pPr>
        <w:numPr>
          <w:ilvl w:val="0"/>
          <w:numId w:val="1"/>
        </w:numPr>
        <w:spacing w:line="600" w:lineRule="exact"/>
        <w:rPr>
          <w:rFonts w:hint="eastAsia" w:ascii="仿宋" w:eastAsia="仿宋" w:hAnsiTheme="minorHAnsi" w:cstheme="minorBidi"/>
          <w:kern w:val="2"/>
          <w:sz w:val="30"/>
          <w:szCs w:val="30"/>
          <w:lang w:val="en-US" w:eastAsia="zh-CN" w:bidi="ar-SA"/>
        </w:rPr>
      </w:pPr>
      <w:r>
        <w:rPr>
          <w:rFonts w:hint="eastAsia" w:ascii="仿宋" w:eastAsia="仿宋" w:hAnsiTheme="minorHAnsi" w:cstheme="minorBidi"/>
          <w:kern w:val="2"/>
          <w:sz w:val="30"/>
          <w:szCs w:val="30"/>
          <w:lang w:val="en-US" w:eastAsia="zh-CN" w:bidi="ar-SA"/>
        </w:rPr>
        <w:t>华夏银行驻村扶贫工作队精准扶贫显成效</w:t>
      </w: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简讯</w:t>
      </w:r>
    </w:p>
    <w:p>
      <w:pPr>
        <w:numPr>
          <w:ilvl w:val="0"/>
          <w:numId w:val="0"/>
        </w:numPr>
        <w:spacing w:line="600" w:lineRule="exact"/>
        <w:ind w:leftChars="0"/>
        <w:rPr>
          <w:rFonts w:hint="eastAsia" w:ascii="方正小标宋简体" w:hAnsi="仿宋" w:eastAsia="方正小标宋简体" w:cs="仿宋_GB2312"/>
          <w:sz w:val="36"/>
          <w:szCs w:val="36"/>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农行山西省分行以实际行动落实山西省委</w:t>
      </w:r>
    </w:p>
    <w:p>
      <w:pPr>
        <w:jc w:val="center"/>
        <w:rPr>
          <w:rFonts w:hint="eastAsia" w:ascii="Times New Roman" w:hAnsi="Times New Roman" w:eastAsia="仿宋" w:cs="仿宋"/>
          <w:b w:val="0"/>
          <w:bCs w:val="0"/>
          <w:sz w:val="32"/>
          <w:szCs w:val="32"/>
          <w:lang w:eastAsia="zh-CN"/>
        </w:rPr>
      </w:pPr>
      <w:r>
        <w:rPr>
          <w:rFonts w:hint="eastAsia" w:ascii="黑体" w:hAnsi="黑体" w:eastAsia="黑体" w:cs="黑体"/>
          <w:kern w:val="2"/>
          <w:sz w:val="36"/>
          <w:szCs w:val="36"/>
          <w:lang w:val="en-US" w:eastAsia="zh-CN" w:bidi="ar-SA"/>
        </w:rPr>
        <w:t>“改革创新、奋发有为”大讨论</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农行山西省分行通过表彰先进、开展述职、召开民主生活会、举办专题讲座等方式，贯彻落实省委“改革创新、奋发有为”大讨论安排部署，在全行营造人人争创一流、争当先进的良好氛围，以一流标杆创造一流业绩。</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一是表彰先进营造奋发进取氛围。全省农行2019年党建和经营工作会议期间，对获得2018年度综合绩效先进集体、进步奖的单位以及优秀支行行长、优秀网点主任进行表彰，先进单位代表进行现场交流。召开省分行机关2018年度先进集体、先进个人表彰大会，对 优秀部室、优秀单元经理、先进工作者进行表彰，先进工作者代表进行交流发言。对运营管理、对公业务、科技管理、服务“三农”等条线工作中涌现出的先进集体和个人进行表彰。</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二是对标一流开展述职评议。召开2018年度省分行领导班子领导人员述职会议、省分行机关2018年度部门主要负责人述职大会，省分行党委班子成员、机关各部室主要负责人以问题为导向，对标一流剖析问题，提出改进思路与举措，为推进全行实现高质量发展增强了信心、鼓舞了干劲。召开二级分行党委书记抓基层党建述职评议会议，长治、晋城、临汾三家二级分行党委书记进行了抓基层党建现场述职，其余单位党委书记进行书面述职。</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三是召开民主生活会和组织生活会。结合大讨论活动，召开分行党委2018年度民主生活会，省分行党委书记、行长代表党委班子从思想政治、精神状态、工作作风等3个方面进行剖析；党委班子成员逐一进行对照检查。省分行党委班子成员分赴二级分行及本人党建联系点参加并指导2018年党委民主生活会，形成了凝聚共识、团结奋斗、干事创业的良好氛围。</w:t>
      </w:r>
    </w:p>
    <w:p>
      <w:pPr>
        <w:ind w:firstLine="640" w:firstLineChars="200"/>
        <w:rPr>
          <w:rFonts w:hint="eastAsia" w:ascii="仿宋" w:hAnsi="仿宋" w:eastAsia="仿宋" w:cs="仿宋"/>
          <w:b w:val="0"/>
          <w:kern w:val="0"/>
          <w:sz w:val="32"/>
          <w:szCs w:val="32"/>
          <w:lang w:val="en-US" w:eastAsia="zh-CN" w:bidi="ar"/>
        </w:rPr>
      </w:pPr>
      <w:r>
        <w:rPr>
          <w:rFonts w:hint="eastAsia" w:ascii="Times New Roman" w:hAnsi="Times New Roman" w:eastAsia="仿宋" w:cs="Times New Roman"/>
          <w:sz w:val="32"/>
          <w:szCs w:val="32"/>
          <w:lang w:val="en-US" w:eastAsia="zh-CN"/>
        </w:rPr>
        <w:t>四是组织专题讲座树立一流标杆。按月举办山西农行大讲堂，针对业务发展重点、热点问题组织专题讲座，为全行业务发展树立一流标杆。邀请讲课教授作《乡村振兴战略的时代价值、内在逻辑及实施方式创新》专题讲座，深化全行干部员工对乡村振兴战略的认识，提升了做好服务“三农”工作的方法和能力。就私人银行业务发展进行了专题讲座，明确了业务发展方向，提升了业务发展信心。</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lang w:val="en-US" w:eastAsia="zh-CN"/>
        </w:rPr>
      </w:pPr>
      <w:r>
        <w:rPr>
          <w:rFonts w:hint="eastAsia" w:ascii="楷体" w:hAnsi="楷体" w:eastAsia="楷体" w:cs="Calibri"/>
          <w:spacing w:val="-4"/>
          <w:sz w:val="30"/>
          <w:szCs w:val="30"/>
          <w:lang w:val="en-US" w:eastAsia="zh-CN"/>
        </w:rPr>
        <w:t>（农业银行山西省分行供稿）</w:t>
      </w: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中国银行山西省分行对公单位</w:t>
      </w:r>
    </w:p>
    <w:p>
      <w:pPr>
        <w:jc w:val="center"/>
      </w:pPr>
      <w:r>
        <w:rPr>
          <w:rFonts w:hint="eastAsia" w:ascii="黑体" w:hAnsi="黑体" w:eastAsia="黑体" w:cs="黑体"/>
          <w:kern w:val="2"/>
          <w:sz w:val="36"/>
          <w:szCs w:val="36"/>
          <w:lang w:val="en-US" w:eastAsia="zh-CN" w:bidi="ar-SA"/>
        </w:rPr>
        <w:t>人民币结算账户突破10万户大关</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中国银行山西省分行认真落实总行“双户双基”战略，扎实推进单位人民币结算账户拓展工作。截至2019年三月末，山西中行单位人民币结算账户突破10万账户大关，较年初净增6121户，增幅6.5%，四行份额提升0.44%，。</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一是调整考核导向，增加考核分值。该行认真分析市场环境，适时调整绩效考核导向，突出单位人民币结算账户，并将其纳入全行战略业务进行整体推进，组织全辖开展“十万账户大冲关”竞赛活动，不断加强网点管理，单位人民币结算账户持续快速发展。</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二是学习先进经验，开展过程管理。该行组织学习先进兄弟行单位人民币结算账户拓展的典型经验，并结合自身实际，对全年单位人民币结算账户拓展工作进行任务分解；加强条线过程管理，按周通报各行新开单位人民币结算账户数量，总结行内优秀账户拓展经验，发送至各基层经营性支行，为其提供业务营销案例指引；召开全行单位人民币结算账户拓展工作会议，明确各行保底开户指标，采取按日通报各行新开账户数量，约谈、督办落后行等措施。</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三是深化银政合作，依托产品带动。一方面，该行各级机构不断深化与当地工商部门的合作，通过签订合作协议、派驻人员、代办工商营业执照、部署工商营业执照一体打印机等形式，抢抓源头信息，实现批量获客，成效显著。另一方面，该行依托中银智慧付产品，开展综合商圈营销，拓展收单客户，带动单位人民币结算账户增长；利用账户监管产品推广，实现单位人民币结算账户批量获客目标。 </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四是实施清单管理，优化服务流程。认真梳理全行数据资源，及时向下属二级分行发送外币账户清单、中银智慧付商户清单、IATA清单，指导辖内机构开展精准营销。同时，该行进一步优化服务流程，通过整合开户协议，调整系统开户角色设置，试点配置“开户通”设备，不断缩短开户时间，优化开户服务，以优质服务来营销客户，实现了全方位、多角度的单位人民币结算账户拓展。</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rPr>
      </w:pPr>
      <w:r>
        <w:rPr>
          <w:rFonts w:hint="eastAsia" w:ascii="楷体" w:hAnsi="楷体" w:eastAsia="楷体" w:cs="Calibri"/>
          <w:spacing w:val="-4"/>
          <w:sz w:val="30"/>
          <w:szCs w:val="30"/>
          <w:lang w:val="en-US" w:eastAsia="zh-CN"/>
        </w:rPr>
        <w:t>（中国银行山西省分行供稿）</w:t>
      </w: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建设银行山西省分行积极开展</w:t>
      </w:r>
    </w:p>
    <w:p>
      <w:pPr>
        <w:jc w:val="center"/>
        <w:rPr>
          <w:rFonts w:hint="eastAsia" w:ascii="彩虹粗仿宋" w:eastAsia="彩虹粗仿宋"/>
          <w:sz w:val="32"/>
          <w:szCs w:val="32"/>
        </w:rPr>
      </w:pPr>
      <w:r>
        <w:rPr>
          <w:rFonts w:hint="eastAsia" w:ascii="黑体" w:hAnsi="黑体" w:eastAsia="黑体" w:cs="黑体"/>
          <w:kern w:val="2"/>
          <w:sz w:val="36"/>
          <w:szCs w:val="36"/>
          <w:lang w:val="en-US" w:eastAsia="zh-CN" w:bidi="ar-SA"/>
        </w:rPr>
        <w:t>消费者权益保护宣传教育活动</w:t>
      </w:r>
    </w:p>
    <w:p>
      <w:pPr>
        <w:ind w:firstLine="640" w:firstLineChars="200"/>
        <w:rPr>
          <w:rFonts w:hint="eastAsia" w:ascii="黑体" w:hAnsi="黑体" w:eastAsia="黑体"/>
          <w:b/>
          <w:sz w:val="32"/>
          <w:szCs w:val="32"/>
        </w:rPr>
      </w:pPr>
      <w:r>
        <w:rPr>
          <w:rFonts w:hint="eastAsia" w:ascii="Times New Roman" w:hAnsi="Times New Roman" w:eastAsia="仿宋" w:cs="Times New Roman"/>
          <w:sz w:val="32"/>
          <w:szCs w:val="32"/>
          <w:lang w:val="en-US" w:eastAsia="zh-CN"/>
        </w:rPr>
        <w:t>建行山西省分行在全省统一组织开展了丰富多彩的金融消费者权益宣传活动。一是立足厅堂，营造良好宣传氛围。全行网点通过LED电子显示屏24小时播放 “以消费者为中心优化服务”活动口号，在显著位置张贴宣传海报，在公众教育区、大堂经理引导台、客户等候区等摆放宣传折页，安排配置宣传员，对金融消费者基本权利、征信知识、支付结算知识、银行卡安全用卡常识和金融消费者投诉咨询受理处理等相关知识进行宣传。二是走进乡村，关爱低净值群体。组织浑源支行等93个县域网点走进农村，通过讲解、演示、案例，对村民普及金融知识，对征信、理财、防范非法集资、识别非法金融广告、防范电信诈骗等知识进行宣传，增强农民群体风险识别与防范能力。三是走进社区商圈，开展主题宣传。市区网点走进附近社区、商圈通过发放宣传资料、现场讲解、现身说法、接受群众咨询等多种形式，向社区居民特别是老龄人群讲解、剖析利用非法集资、电信诈骗、银行卡盗刷等形式戳破老百姓“钱袋子”的事件，增强老百姓的自身辨别能力。四是走进校园，提升学生防范风险能力。通过悬挂宣传条幅，摆放咨询台接受大学生现场咨询、发放宣传资料等方式开展金融知识宣传活动，重点宣传信用卡使用、个人征信、反假货币、互联网金融知识、助学贷款、金融消费者的风险和责任知识，引导学生树立正确消费观念，增强对网络的有效甄别和抵制能力。五是创新模式，开展3.15漫画、动漫大赛。精心制作金融消费者权益保护漫画、动漫片，向金融消费者提示网络金融中可能存在的风险点，增强与消费者的互动交流，以图入意，由浅入深，潜移默化，把如何维护金融消费者权益的思想生动、形象的跃然纸上，使公众在轻松幽默中获得防骗知识和维权意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（建设银行山西省分行供稿）</w:t>
      </w: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大同银行出台十八条实施意见支持民营企业发展</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近日，大同银行出台《关于大力支持民营企业发展的实施意见》，为民营企业减负担、减成本、降门槛，同时也通过扶持举措为企业增底气、添活力。</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实施意见》聚焦减轻民营企业负担，缓解民营企业经营困难，除对部分民营企业在生产经营遇到困难或面临流动性风险时不盲目抽贷、压贷、断贷，还对符合条件的民营企业，通过风险可控的续贷、借新还旧、展期、变更借款人、调整还款计划等方式，解决客户临时性资金周转问题，助力企业纾困解难。同时，严格落实收费减免政策要求，降低民营企业融资费用，践行社会责任。《实施意见》还明确提出，要拓宽融资渠道，丰富金融产品，积极运用同业投资、理财资金、票据融资支持优质民营企业再融资。配合政府有关部门，探索创新以政府扶持计划和专项科研项目拨款等政府支持政策为增信手段的信贷产品；积极发展经营权、收费权、应收账款、存货、仓单、股权、专利等权利质押贷款；大力推广一次授信、循环使用、随借随还等符合民营企业发展的信贷产品；积极为民营企业提供信贷融资、委托代理、投资</w:t>
      </w:r>
    </w:p>
    <w:p>
      <w:pPr>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理财等金融产品。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964" w:firstLineChars="1700"/>
        <w:jc w:val="both"/>
        <w:textAlignment w:val="auto"/>
        <w:outlineLvl w:val="9"/>
        <w:rPr>
          <w:rFonts w:hint="eastAsia" w:ascii="Times New Roman" w:hAnsi="Times New Roman" w:eastAsia="仿宋" w:cs="Times New Roman"/>
          <w:kern w:val="2"/>
          <w:sz w:val="32"/>
          <w:szCs w:val="32"/>
          <w:lang w:val="en-US" w:eastAsia="zh-CN" w:bidi="ar-SA"/>
        </w:rPr>
      </w:pPr>
      <w:r>
        <w:rPr>
          <w:rFonts w:hint="eastAsia" w:ascii="楷体" w:hAnsi="楷体" w:eastAsia="楷体" w:cs="Calibri"/>
          <w:spacing w:val="-4"/>
          <w:sz w:val="30"/>
          <w:szCs w:val="30"/>
          <w:lang w:val="en-US" w:eastAsia="zh-CN"/>
        </w:rPr>
        <w:t>（大同银行供稿）</w:t>
      </w:r>
    </w:p>
    <w:p>
      <w:pPr>
        <w:jc w:val="center"/>
        <w:rPr>
          <w:rFonts w:hint="eastAsia" w:ascii="宋体" w:hAnsi="宋体"/>
          <w:sz w:val="32"/>
          <w:szCs w:val="32"/>
        </w:rPr>
      </w:pPr>
      <w:r>
        <w:rPr>
          <w:rFonts w:hint="eastAsia" w:ascii="黑体" w:hAnsi="黑体" w:eastAsia="黑体" w:cs="黑体"/>
          <w:kern w:val="2"/>
          <w:sz w:val="36"/>
          <w:szCs w:val="36"/>
          <w:lang w:val="en-US" w:eastAsia="zh-CN" w:bidi="ar-SA"/>
        </w:rPr>
        <w:t>华夏银行驻村扶贫工作队精准扶贫显成效</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凹里村是华夏银行运城支行的定点帮扶点。近年来，帮扶工作队在太原分行的领导下，从解决老百姓实际问题入手，动真情、动真格、真扶贫、扶真贫、真抓实干、埋头苦干。工作队先后向太原分行申请资金解决凹里老村饮水问题、向县政府申请28万元资金解决新村排水问题、安装20万元太阳能光伏发电项目、向县水利部门申请80万元对新村饮水管道进行改造，改善了村民生活，壮大了集体经济。这一件件、一桩桩，倾注了工作队的心血，给村民带来了实实在在的帮助。</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2019年伊始，工作队开展村情民意走访，听民声，察民情，了解到村中巷道损坏严重，影响村民出行，村中孩童因此多次摔倒受伤。这一问题，时刻牵动着华夏银行驻村扶贫工作队的心，帮助贫困村解决路面硬化问题，成为工作队义不容辞的责任。驻村工作队在运城支行的支持下，在村里搞调研，向镇里要支持，往县里递申请，成功向平陆县扶贫办争取到34.5万元的巷道硬化资金，解决了群众普遍反映的出行不便问题，提升了村容村貌，满足了村民对美好生活的要求。一分耕耘一份收获。如今的凹里村，伴随着扶贫路的延伸，饮水管道的铺设，村域经济得到发展，村民生活幸福感得到提升。</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default"/>
          <w:lang w:val="en-US" w:eastAsia="zh-CN"/>
        </w:rPr>
      </w:pPr>
      <w:r>
        <w:rPr>
          <w:rFonts w:hint="eastAsia" w:ascii="楷体" w:hAnsi="楷体" w:eastAsia="楷体" w:cs="Calibri"/>
          <w:spacing w:val="-4"/>
          <w:sz w:val="30"/>
          <w:szCs w:val="30"/>
          <w:lang w:val="en-US" w:eastAsia="zh-CN"/>
        </w:rPr>
        <w:t>（华夏银行太原分行供稿）</w:t>
      </w:r>
    </w:p>
    <w:p>
      <w:pPr>
        <w:pStyle w:val="2"/>
        <w:rPr>
          <w:rFonts w:hint="eastAsia"/>
        </w:rPr>
      </w:pPr>
    </w:p>
    <w:p>
      <w:pPr>
        <w:pStyle w:val="2"/>
        <w:rPr>
          <w:rFonts w:hint="eastAsia"/>
          <w:lang w:val="en-US" w:eastAsia="zh-CN"/>
        </w:rPr>
      </w:pPr>
    </w:p>
    <w:p>
      <w:pPr>
        <w:spacing w:line="560" w:lineRule="exact"/>
        <w:ind w:firstLine="3240" w:firstLineChars="900"/>
        <w:jc w:val="both"/>
        <w:rPr>
          <w:rFonts w:hint="eastAsia"/>
        </w:rPr>
      </w:pPr>
      <w:r>
        <w:rPr>
          <w:rFonts w:hint="eastAsia" w:ascii="方正小标宋简体" w:eastAsia="方正小标宋简体"/>
          <w:bCs/>
          <w:sz w:val="36"/>
          <w:szCs w:val="32"/>
        </w:rPr>
        <w:t>简     讯</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 w:cs="仿宋"/>
          <w:b w:val="0"/>
          <w:bCs w:val="0"/>
          <w:sz w:val="32"/>
          <w:szCs w:val="32"/>
          <w:lang w:eastAsia="zh-CN"/>
        </w:rPr>
      </w:pPr>
      <w:r>
        <w:rPr>
          <w:rFonts w:hint="eastAsia" w:ascii="楷体" w:hAnsi="楷体" w:eastAsia="楷体"/>
          <w:b/>
          <w:color w:val="000000"/>
          <w:sz w:val="30"/>
          <w:szCs w:val="30"/>
          <w:lang w:val="en-US" w:eastAsia="zh-CN"/>
        </w:rPr>
        <w:t>◆农行山西省分行与吕梁市人民政府签署乡村振兴战略合作协议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为进一步强化银证合作，更好地服务乡村振兴战略，4月4日，农行山西</w:t>
      </w:r>
      <w:r>
        <w:rPr>
          <w:rFonts w:hint="eastAsia" w:ascii="Times New Roman" w:hAnsi="Times New Roman" w:eastAsia="仿宋" w:cs="Times New Roman"/>
          <w:b w:val="0"/>
          <w:bCs w:val="0"/>
          <w:sz w:val="32"/>
          <w:szCs w:val="32"/>
          <w:lang w:val="en-US" w:eastAsia="zh-CN"/>
        </w:rPr>
        <w:t>省</w:t>
      </w:r>
      <w:r>
        <w:rPr>
          <w:rFonts w:hint="default" w:ascii="Times New Roman" w:hAnsi="Times New Roman" w:eastAsia="仿宋" w:cs="Times New Roman"/>
          <w:b w:val="0"/>
          <w:bCs w:val="0"/>
          <w:sz w:val="32"/>
          <w:szCs w:val="32"/>
          <w:lang w:val="en-US" w:eastAsia="zh-CN"/>
        </w:rPr>
        <w:t>分行与吕梁市人民政府签署乡村振兴战略合作协议。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eastAsia="仿宋_GB2312" w:asciiTheme="minorHAnsi" w:hAnsiTheme="minorHAnsi" w:cstheme="minorBidi"/>
          <w:b w:val="0"/>
          <w:kern w:val="2"/>
          <w:sz w:val="32"/>
          <w:szCs w:val="32"/>
          <w:lang w:val="en-US" w:eastAsia="zh-CN" w:bidi="ar-SA"/>
        </w:rPr>
      </w:pPr>
      <w:r>
        <w:rPr>
          <w:rFonts w:hint="default" w:ascii="Times New Roman" w:hAnsi="Times New Roman" w:eastAsia="仿宋" w:cs="Times New Roman"/>
          <w:b w:val="0"/>
          <w:bCs w:val="0"/>
          <w:sz w:val="32"/>
          <w:szCs w:val="32"/>
          <w:lang w:val="en-US" w:eastAsia="zh-CN"/>
        </w:rPr>
        <w:t>根据协议，双方将在五个方面开展战略合作：一是围绕吕梁乡村振兴七大行动计划，农行积极实施七大支持策略，创新金融产品和服务。二是农行将提供20亿元的意向性信贷资金支持，助力吕梁“三农”特色产业发展升级。三是支持农村产权制度改革和“三资”管理规范化建设，实现乡村资金结算全服务。四是合作实施新型职业农民培育工程，按照新型职业农民的等级划分，给予一定额度的信用支持。五是开展服务渠道共建共享，丰富农村支付结算渠道和应用场景。为了保障双方战略合作的落实，农行山西省分行和吕梁市政府建立了金融服务长效机制，确定牵头部门，定期召开业务交流会，确保吕梁夺取脱贫攻坚战役和乡村振兴战略的最后胜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796" w:firstLineChars="1300"/>
        <w:jc w:val="both"/>
        <w:textAlignment w:val="auto"/>
        <w:outlineLvl w:val="9"/>
        <w:rPr>
          <w:rFonts w:hint="eastAsia"/>
          <w:sz w:val="32"/>
          <w:szCs w:val="32"/>
          <w:lang w:val="en-US" w:eastAsia="zh-CN"/>
        </w:rPr>
      </w:pPr>
      <w:r>
        <w:rPr>
          <w:rFonts w:hint="eastAsia" w:ascii="楷体" w:hAnsi="楷体" w:eastAsia="楷体" w:cs="Calibri"/>
          <w:spacing w:val="-4"/>
          <w:sz w:val="30"/>
          <w:szCs w:val="30"/>
          <w:lang w:val="en-US" w:eastAsia="zh-CN"/>
        </w:rPr>
        <w:t>（农行山西省分行行供稿）</w:t>
      </w:r>
    </w:p>
    <w:p>
      <w:pPr>
        <w:rPr>
          <w:rFonts w:hint="eastAsia"/>
        </w:rPr>
      </w:pPr>
    </w:p>
    <w:p>
      <w:pPr>
        <w:pStyle w:val="2"/>
        <w:rPr>
          <w:rFonts w:hint="eastAsia"/>
        </w:rPr>
      </w:pPr>
    </w:p>
    <w:p>
      <w:pPr>
        <w:rPr>
          <w:rFonts w:hint="eastAsia"/>
        </w:rPr>
      </w:pPr>
    </w:p>
    <w:p>
      <w:pPr>
        <w:pStyle w:val="2"/>
        <w:rPr>
          <w:rFonts w:hint="eastAsia"/>
        </w:rPr>
      </w:pP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spacing w:line="400" w:lineRule="exact"/>
        <w:rPr>
          <w:rFonts w:hint="eastAsia" w:eastAsia="黑体"/>
          <w:color w:val="000000"/>
          <w:sz w:val="21"/>
        </w:rPr>
      </w:pPr>
      <w:r>
        <w:rPr>
          <w:rFonts w:hint="eastAsia" w:eastAsia="黑体"/>
          <w:color w:val="000000"/>
          <w:sz w:val="21"/>
        </w:rPr>
        <w:t>发送：山西银</w:t>
      </w:r>
      <w:r>
        <w:rPr>
          <w:rFonts w:hint="eastAsia" w:eastAsia="黑体"/>
          <w:color w:val="000000"/>
          <w:sz w:val="21"/>
          <w:lang w:val="en-US" w:eastAsia="zh-CN"/>
        </w:rPr>
        <w:t>保</w:t>
      </w:r>
      <w:r>
        <w:rPr>
          <w:rFonts w:hint="eastAsia" w:eastAsia="黑体"/>
          <w:color w:val="000000"/>
          <w:sz w:val="21"/>
        </w:rPr>
        <w:t>监局局领导、各处室，各银</w:t>
      </w:r>
      <w:r>
        <w:rPr>
          <w:rFonts w:hint="eastAsia" w:eastAsia="黑体"/>
          <w:color w:val="000000"/>
          <w:sz w:val="21"/>
          <w:lang w:val="en-US" w:eastAsia="zh-CN"/>
        </w:rPr>
        <w:t>保</w:t>
      </w:r>
      <w:bookmarkStart w:id="0" w:name="_GoBack"/>
      <w:bookmarkEnd w:id="0"/>
      <w:r>
        <w:rPr>
          <w:rFonts w:hint="eastAsia" w:eastAsia="黑体"/>
          <w:color w:val="000000"/>
          <w:sz w:val="21"/>
        </w:rPr>
        <w:t>监分局。</w:t>
      </w:r>
    </w:p>
    <w:p>
      <w:pPr>
        <w:pBdr>
          <w:bottom w:val="single" w:color="auto" w:sz="6" w:space="0"/>
        </w:pBdr>
        <w:spacing w:line="400" w:lineRule="exact"/>
        <w:rPr>
          <w:rFonts w:eastAsia="黑体"/>
          <w:color w:val="000000"/>
          <w:sz w:val="21"/>
        </w:rPr>
      </w:pPr>
      <w:r>
        <w:rPr>
          <w:rFonts w:eastAsia="黑体"/>
          <w:color w:val="000000"/>
          <w:sz w:val="21"/>
        </w:rPr>
        <w:t xml:space="preserve">      </w:t>
      </w:r>
      <w:r>
        <w:rPr>
          <w:rFonts w:hint="eastAsia" w:eastAsia="黑体"/>
          <w:color w:val="000000"/>
          <w:sz w:val="21"/>
        </w:rPr>
        <w:t>中国银行业协会，各会员单位，会长、专职副会长、副会长、监事长、正副秘书长、秘书处各部。</w:t>
      </w:r>
    </w:p>
    <w:p>
      <w:pPr>
        <w:tabs>
          <w:tab w:val="left" w:pos="6531"/>
        </w:tabs>
        <w:spacing w:line="400" w:lineRule="exact"/>
        <w:ind w:firstLine="222" w:firstLineChars="106"/>
      </w:pPr>
      <w:r>
        <w:rPr>
          <w:rFonts w:hint="eastAsia" w:eastAsia="黑体"/>
          <w:color w:val="000000"/>
          <w:sz w:val="21"/>
        </w:rPr>
        <w:t>编校：</w:t>
      </w:r>
      <w:r>
        <w:rPr>
          <w:rFonts w:hint="eastAsia" w:eastAsia="黑体"/>
          <w:color w:val="000000"/>
          <w:sz w:val="21"/>
          <w:lang w:val="en-US" w:eastAsia="zh-CN"/>
        </w:rPr>
        <w:t>郝乾良</w:t>
      </w:r>
      <w:r>
        <w:rPr>
          <w:rFonts w:eastAsia="黑体"/>
          <w:color w:val="000000"/>
          <w:sz w:val="21"/>
        </w:rPr>
        <w:t xml:space="preserve">                                                    </w:t>
      </w:r>
      <w:r>
        <w:rPr>
          <w:rFonts w:hint="eastAsia" w:eastAsia="黑体"/>
          <w:color w:val="000000"/>
          <w:sz w:val="21"/>
        </w:rPr>
        <w:t>共印：</w:t>
      </w:r>
      <w:r>
        <w:rPr>
          <w:rFonts w:eastAsia="黑体"/>
          <w:color w:val="000000"/>
          <w:sz w:val="21"/>
        </w:rPr>
        <w:t>80</w:t>
      </w:r>
      <w:r>
        <w:rPr>
          <w:rFonts w:hint="eastAsia" w:eastAsia="黑体"/>
          <w:color w:val="000000"/>
          <w:sz w:val="21"/>
        </w:rPr>
        <w:t>份</w:t>
      </w:r>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彩虹粗仿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27093"/>
    <w:multiLevelType w:val="multilevel"/>
    <w:tmpl w:val="6DC27093"/>
    <w:lvl w:ilvl="0" w:tentative="0">
      <w:start w:val="1"/>
      <w:numFmt w:val="bullet"/>
      <w:lvlText w:val=""/>
      <w:lvlJc w:val="left"/>
      <w:pPr>
        <w:tabs>
          <w:tab w:val="left" w:pos="420"/>
        </w:tabs>
        <w:ind w:left="4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1933"/>
    <w:rsid w:val="0C6C1E43"/>
    <w:rsid w:val="173B6B42"/>
    <w:rsid w:val="1AB45F5D"/>
    <w:rsid w:val="266C4B07"/>
    <w:rsid w:val="4D123E3D"/>
    <w:rsid w:val="606D1933"/>
    <w:rsid w:val="61582774"/>
    <w:rsid w:val="64B03DD8"/>
    <w:rsid w:val="6B6B45F9"/>
    <w:rsid w:val="6FA841C4"/>
    <w:rsid w:val="761E5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2019-04-11T06:26:00Z</dcterms:created>
  <dc:creator>无疆无界</dc:creator>
  <cp:lastModifiedBy>无疆无界</cp:lastModifiedBy>
  <dcterms:modified xsi:type="dcterms:W3CDTF">2019-06-13T06:30:44Z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