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1" w:beforeLines="50" w:line="600" w:lineRule="exact"/>
        <w:rPr>
          <w:rFonts w:hint="eastAsia" w:eastAsia="方正小标宋简体"/>
          <w:sz w:val="36"/>
        </w:rPr>
      </w:pPr>
      <w:r>
        <w:rPr>
          <w:rFonts w:hint="eastAsia" w:eastAsia="方正小标宋简体"/>
          <w:sz w:val="36"/>
        </w:rPr>
        <w:t xml:space="preserve">          </w:t>
      </w:r>
    </w:p>
    <w:p>
      <w:pPr>
        <w:spacing w:line="600" w:lineRule="exact"/>
        <w:rPr>
          <w:rFonts w:hint="eastAsia" w:eastAsia="方正小标宋简体"/>
          <w:sz w:val="36"/>
        </w:rPr>
      </w:pPr>
    </w:p>
    <w:p>
      <w:pPr>
        <w:spacing w:line="600" w:lineRule="exact"/>
        <w:rPr>
          <w:rFonts w:hint="eastAsia" w:eastAsia="方正小标宋简体"/>
          <w:sz w:val="36"/>
        </w:rPr>
      </w:pPr>
      <w:r>
        <w:rPr>
          <w:rFonts w:eastAsia="方正小标宋简体"/>
          <w:sz w:val="20"/>
        </w:rPr>
        <w:pict>
          <v:shape id="_x0000_s1026" o:spid="_x0000_s1026" o:spt="136" type="#_x0000_t136" style="position:absolute;left:0pt;margin-left:46.8pt;margin-top:15.05pt;height:42.25pt;width:357.65pt;mso-wrap-distance-left:9pt;mso-wrap-distance-right:9pt;z-index:-251657216;mso-width-relative:page;mso-height-relative:page;" fillcolor="#FF0000" filled="t" stroked="t" coordsize="21600,21600" wrapcoords="4903 0 4408 5336 4407 5351 4402 5397 4401 5411 4397 5425 4346 5815 4294 6201 4241 6583 4131 7324 4019 8026 3905 8689 3788 9312 3729 9609 3669 9896 3609 10174 3548 10442 3487 10700 3425 10948 3363 11186 3300 11415 3374 11931 4217 11933 4211 12551 3533 12553 3691 13759 4198 13761 4163 17870 4104 18228 4039 18556 3976 18820 3914 19022 3825 19205 3992 21333 6050 21335 6159 21512 6175 21512 6189 21428 12116 21426 12201 21162 13688 21160 13782 20951 13863 20733 16160 20731 17108 20727 17243 20562 17329 20301 17380 20061 17425 19769 17464 19424 17414 19092 17362 18873 17369 18869 17914 18867 17971 18537 17994 18288 18013 17979 18027 17611 18031 17312 18022 17013 17994 16614 17972 16415 17945 16215 17913 16015 17875 15809 17829 15587 17776 15352 17715 15102 17647 14838 17571 14559 17488 14266 17397 13958 16586 13956 16564 13904 16459 13561 16427 13446 16625 13444 16686 13268 17924 13266 17937 13048 17969 12758 18020 12513 18115 12256 18241 12079 18088 11256 17932 11057 17826 10878 17719 10661 17611 10406 17502 10114 17392 9784 17283 9411 17230 9206 17179 8989 17128 8761 17079 8520 17031 8266 16984 8001 16938 7724 16893 7434 16850 7133 16807 6819 16766 6493 16726 6155 16687 5805 16657 5445 18168 5443 17823 3113 16566 3111 16587 2074 16736 1494 16281 173 4907 171 4919 0 4903 0">
            <v:path/>
            <v:fill on="t" focussize="0,0"/>
            <v:stroke weight="0.05pt" color="#FF0000"/>
            <v:imagedata o:title=""/>
            <o:lock v:ext="edit" grouping="f" rotation="f" text="f" aspectratio="f"/>
            <v:textpath on="t" fitshape="t" fitpath="t" trim="t" xscale="f" string="   会员动态   " style="font-family:方正小标宋简体;font-size:20pt;font-weight:bold;v-text-align:center;"/>
            <w10:wrap type="through"/>
          </v:shape>
        </w:pict>
      </w:r>
    </w:p>
    <w:p>
      <w:pPr>
        <w:spacing w:before="120" w:after="120" w:line="600" w:lineRule="exact"/>
        <w:rPr>
          <w:rFonts w:hint="eastAsia" w:eastAsia="方正小标宋简体"/>
          <w:sz w:val="36"/>
        </w:rPr>
      </w:pPr>
    </w:p>
    <w:p>
      <w:pPr>
        <w:spacing w:before="301" w:beforeLines="50" w:line="600" w:lineRule="exact"/>
        <w:jc w:val="center"/>
        <w:rPr>
          <w:rFonts w:hint="eastAsia" w:ascii="楷体" w:hAnsi="楷体" w:eastAsia="楷体"/>
          <w:sz w:val="30"/>
        </w:rPr>
      </w:pPr>
      <w:r>
        <w:rPr>
          <w:rFonts w:hint="eastAsia" w:ascii="楷体" w:hAnsi="楷体" w:eastAsia="楷体"/>
        </w:rPr>
        <w:t>201</w:t>
      </w:r>
      <w:r>
        <w:rPr>
          <w:rFonts w:hint="eastAsia" w:ascii="楷体" w:hAnsi="楷体" w:eastAsia="楷体"/>
          <w:lang w:val="en-US" w:eastAsia="zh-CN"/>
        </w:rPr>
        <w:t>9</w:t>
      </w:r>
      <w:r>
        <w:rPr>
          <w:rFonts w:hint="eastAsia" w:ascii="楷体" w:hAnsi="楷体" w:eastAsia="楷体"/>
        </w:rPr>
        <w:t>年第</w:t>
      </w:r>
      <w:r>
        <w:rPr>
          <w:rFonts w:hint="eastAsia" w:ascii="楷体" w:hAnsi="楷体" w:eastAsia="楷体"/>
          <w:lang w:val="en-US" w:eastAsia="zh-CN"/>
        </w:rPr>
        <w:t>7</w:t>
      </w:r>
      <w:r>
        <w:rPr>
          <w:rFonts w:hint="eastAsia" w:ascii="楷体" w:hAnsi="楷体" w:eastAsia="楷体"/>
        </w:rPr>
        <w:t>期（总第</w:t>
      </w:r>
      <w:r>
        <w:rPr>
          <w:rFonts w:hint="eastAsia" w:ascii="楷体" w:hAnsi="楷体" w:eastAsia="楷体"/>
          <w:lang w:val="en-US" w:eastAsia="zh-CN"/>
        </w:rPr>
        <w:t>227</w:t>
      </w:r>
      <w:r>
        <w:rPr>
          <w:rFonts w:hint="eastAsia" w:ascii="楷体" w:hAnsi="楷体" w:eastAsia="楷体"/>
        </w:rPr>
        <w:t>期）</w:t>
      </w:r>
    </w:p>
    <w:p>
      <w:pPr>
        <w:spacing w:before="301" w:beforeLines="50" w:line="600" w:lineRule="exact"/>
        <w:ind w:firstLine="300" w:firstLineChars="100"/>
        <w:rPr>
          <w:rFonts w:ascii="楷体" w:hAnsi="楷体" w:eastAsia="楷体"/>
          <w:sz w:val="30"/>
        </w:rPr>
      </w:pPr>
      <w:r>
        <w:rPr>
          <w:rFonts w:hint="eastAsia" w:ascii="楷体" w:hAnsi="楷体" w:eastAsia="楷体"/>
          <w:sz w:val="30"/>
        </w:rPr>
        <w:t>山西省银行业协会秘书处              201</w:t>
      </w:r>
      <w:r>
        <w:rPr>
          <w:rFonts w:hint="eastAsia" w:ascii="楷体" w:hAnsi="楷体" w:eastAsia="楷体"/>
          <w:sz w:val="30"/>
          <w:lang w:val="en-US" w:eastAsia="zh-CN"/>
        </w:rPr>
        <w:t>9</w:t>
      </w:r>
      <w:r>
        <w:rPr>
          <w:rFonts w:hint="eastAsia" w:ascii="楷体" w:hAnsi="楷体" w:eastAsia="楷体"/>
          <w:sz w:val="30"/>
        </w:rPr>
        <w:t>年</w:t>
      </w:r>
      <w:r>
        <w:rPr>
          <w:rFonts w:hint="eastAsia" w:ascii="楷体" w:hAnsi="楷体" w:eastAsia="楷体"/>
          <w:sz w:val="30"/>
          <w:lang w:val="en-US" w:eastAsia="zh-CN"/>
        </w:rPr>
        <w:t>4</w:t>
      </w:r>
      <w:r>
        <w:rPr>
          <w:rFonts w:hint="eastAsia" w:ascii="楷体" w:hAnsi="楷体" w:eastAsia="楷体"/>
          <w:sz w:val="30"/>
        </w:rPr>
        <w:t>月</w:t>
      </w:r>
      <w:r>
        <w:rPr>
          <w:rFonts w:hint="eastAsia" w:ascii="楷体" w:hAnsi="楷体" w:eastAsia="楷体"/>
          <w:sz w:val="30"/>
          <w:lang w:val="en-US" w:eastAsia="zh-CN"/>
        </w:rPr>
        <w:t>19</w:t>
      </w:r>
      <w:r>
        <w:rPr>
          <w:rFonts w:hint="eastAsia" w:ascii="楷体" w:hAnsi="楷体" w:eastAsia="楷体"/>
          <w:sz w:val="30"/>
        </w:rPr>
        <w:t>日</w:t>
      </w:r>
    </w:p>
    <w:tbl>
      <w:tblPr>
        <w:tblStyle w:val="6"/>
        <w:tblW w:w="8740" w:type="dxa"/>
        <w:tblInd w:w="14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7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0" w:hRule="atLeast"/>
        </w:trPr>
        <w:tc>
          <w:tcPr>
            <w:tcW w:w="8740" w:type="dxa"/>
            <w:tcBorders>
              <w:top w:val="single" w:color="FF0000" w:sz="4" w:space="0"/>
              <w:left w:val="nil"/>
              <w:bottom w:val="nil"/>
              <w:right w:val="nil"/>
            </w:tcBorders>
            <w:vAlign w:val="top"/>
          </w:tcPr>
          <w:p>
            <w:pPr>
              <w:spacing w:line="600" w:lineRule="exact"/>
              <w:ind w:left="-140"/>
              <w:rPr>
                <w:rFonts w:hint="eastAsia" w:eastAsia="方正小标宋简体"/>
                <w:sz w:val="36"/>
              </w:rPr>
            </w:pPr>
          </w:p>
        </w:tc>
      </w:tr>
    </w:tbl>
    <w:p>
      <w:pPr>
        <w:spacing w:line="600" w:lineRule="exact"/>
        <w:jc w:val="center"/>
        <w:rPr>
          <w:rFonts w:hint="eastAsia" w:ascii="方正小标宋简体" w:eastAsia="方正小标宋简体"/>
          <w:bCs/>
          <w:sz w:val="36"/>
          <w:szCs w:val="32"/>
        </w:rPr>
      </w:pPr>
      <w:r>
        <w:rPr>
          <w:rFonts w:hint="eastAsia" w:ascii="方正小标宋简体" w:eastAsia="方正小标宋简体"/>
          <w:bCs/>
          <w:sz w:val="36"/>
          <w:szCs w:val="32"/>
        </w:rPr>
        <w:t>本  期  目  录</w:t>
      </w:r>
    </w:p>
    <w:p>
      <w:pPr>
        <w:spacing w:line="600" w:lineRule="exact"/>
        <w:jc w:val="center"/>
        <w:rPr>
          <w:rFonts w:hint="eastAsia" w:ascii="方正小标宋简体" w:eastAsia="方正小标宋简体"/>
          <w:bCs/>
          <w:sz w:val="36"/>
          <w:szCs w:val="32"/>
          <w:lang w:val="en-US" w:eastAsia="zh-CN"/>
        </w:rPr>
      </w:pP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山西省按期完成联合授信试点企业“银银”“银企”两个协议签订工作</w:t>
      </w: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农行山西省分行助力小微企业融资成功发放首笔“车易贷”</w:t>
      </w:r>
    </w:p>
    <w:p>
      <w:pPr>
        <w:numPr>
          <w:ilvl w:val="0"/>
          <w:numId w:val="1"/>
        </w:numPr>
        <w:spacing w:line="600" w:lineRule="exact"/>
        <w:rPr>
          <w:rFonts w:hint="eastAsia"/>
          <w:lang w:val="en-US" w:eastAsia="zh-CN"/>
        </w:rPr>
      </w:pPr>
      <w:r>
        <w:rPr>
          <w:rFonts w:hint="eastAsia" w:ascii="仿宋" w:eastAsia="仿宋" w:hAnsiTheme="minorHAnsi" w:cstheme="minorBidi"/>
          <w:kern w:val="2"/>
          <w:sz w:val="30"/>
          <w:szCs w:val="30"/>
          <w:lang w:val="en-US" w:eastAsia="zh-CN" w:bidi="ar-SA"/>
        </w:rPr>
        <w:t>中国银行山西省分行支持中小微企业与太原市人民政府签署战略合作协议</w:t>
      </w:r>
    </w:p>
    <w:p>
      <w:pPr>
        <w:numPr>
          <w:ilvl w:val="0"/>
          <w:numId w:val="1"/>
        </w:numPr>
        <w:spacing w:line="600" w:lineRule="exact"/>
        <w:rPr>
          <w:rFonts w:hint="eastAsia" w:ascii="仿宋" w:eastAsia="仿宋" w:hAnsiTheme="minorHAnsi" w:cstheme="minorBidi"/>
          <w:kern w:val="2"/>
          <w:sz w:val="30"/>
          <w:szCs w:val="30"/>
          <w:lang w:val="en-US" w:eastAsia="zh-CN" w:bidi="ar-SA"/>
        </w:rPr>
      </w:pPr>
      <w:r>
        <w:rPr>
          <w:rFonts w:hint="eastAsia" w:ascii="仿宋" w:eastAsia="仿宋" w:hAnsiTheme="minorHAnsi" w:cstheme="minorBidi"/>
          <w:kern w:val="2"/>
          <w:sz w:val="30"/>
          <w:szCs w:val="30"/>
          <w:lang w:val="en-US" w:eastAsia="zh-CN" w:bidi="ar-SA"/>
        </w:rPr>
        <w:t>建设银行山西省分行在人行2018年反洗钱分类评级中荣获A类评级</w:t>
      </w:r>
    </w:p>
    <w:p>
      <w:pPr>
        <w:numPr>
          <w:ilvl w:val="0"/>
          <w:numId w:val="1"/>
        </w:numPr>
        <w:spacing w:line="600" w:lineRule="exact"/>
        <w:rPr>
          <w:rFonts w:hint="eastAsia" w:ascii="仿宋" w:eastAsia="仿宋"/>
          <w:sz w:val="30"/>
          <w:szCs w:val="30"/>
          <w:lang w:val="en-US" w:eastAsia="zh-CN"/>
        </w:rPr>
      </w:pPr>
      <w:r>
        <w:rPr>
          <w:rFonts w:hint="eastAsia" w:ascii="仿宋" w:eastAsia="仿宋"/>
          <w:sz w:val="30"/>
          <w:szCs w:val="30"/>
          <w:lang w:val="en-US" w:eastAsia="zh-CN"/>
        </w:rPr>
        <w:t>简讯</w:t>
      </w:r>
    </w:p>
    <w:p>
      <w:pPr>
        <w:numPr>
          <w:ilvl w:val="0"/>
          <w:numId w:val="0"/>
        </w:numPr>
        <w:spacing w:line="600" w:lineRule="exact"/>
        <w:ind w:leftChars="0"/>
        <w:rPr>
          <w:rFonts w:hint="eastAsia" w:ascii="方正小标宋简体" w:hAnsi="仿宋" w:eastAsia="方正小标宋简体" w:cs="仿宋_GB2312"/>
          <w:sz w:val="36"/>
          <w:szCs w:val="36"/>
          <w:lang w:val="en-US" w:eastAsia="zh-CN"/>
        </w:rPr>
      </w:pPr>
    </w:p>
    <w:p>
      <w:pPr>
        <w:pStyle w:val="3"/>
        <w:rPr>
          <w:rFonts w:hint="eastAsia"/>
          <w:lang w:val="en-US" w:eastAsia="zh-CN"/>
        </w:rPr>
      </w:pPr>
    </w:p>
    <w:p>
      <w:pPr>
        <w:pStyle w:val="3"/>
        <w:rPr>
          <w:rFonts w:hint="eastAsia"/>
          <w:lang w:val="en-US" w:eastAsia="zh-CN"/>
        </w:rPr>
      </w:pP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山西省按期完成联合授信试点企业</w:t>
      </w:r>
    </w:p>
    <w:p>
      <w:pPr>
        <w:jc w:val="center"/>
        <w:rPr>
          <w:rFonts w:hint="eastAsia" w:ascii="黑体" w:hAnsi="黑体" w:eastAsia="黑体" w:cs="黑体"/>
          <w:sz w:val="44"/>
          <w:szCs w:val="44"/>
          <w:lang w:eastAsia="zh-CN"/>
        </w:rPr>
      </w:pPr>
      <w:r>
        <w:rPr>
          <w:rFonts w:hint="eastAsia" w:ascii="黑体" w:hAnsi="黑体" w:eastAsia="黑体" w:cs="黑体"/>
          <w:kern w:val="2"/>
          <w:sz w:val="36"/>
          <w:szCs w:val="36"/>
          <w:lang w:val="en-US" w:eastAsia="zh-CN" w:bidi="ar-SA"/>
        </w:rPr>
        <w:t>“银银”“银企”两个协议签订工作</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为落实银保监会《银行业金融机构联合授信管理办法（试行）》要求和中银协相关工作部署，在山西银保监局的组织和指导下，山西省银行业协会结合辖区实际，扎实稳步推进，联合授信管理试点工作取得了阶段性的成果。截至 4 月 16 日，山西省银行业金融机构全部完成首批 10家联合授信试点企业“银银协议”和“银企协议”的签订工作。</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 xml:space="preserve">两个协议的签订，加强了各银行业金融机构间的沟通和信息互通，各银行业金融机构间的融资情况以及企业信息更加公开透明、更加对称，增强了授信决策的科学性、授信额度测定的合理性，使联合授信管理工作趋向规范化、制度化，更加具有可操作性。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80" w:firstLineChars="14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Calibri"/>
          <w:spacing w:val="-4"/>
          <w:sz w:val="30"/>
          <w:szCs w:val="30"/>
          <w:lang w:val="en-US" w:eastAsia="zh-CN"/>
        </w:rPr>
        <w:t>（山西省银行业协会供稿）</w:t>
      </w: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农行山西省分行助力小微企业融资</w:t>
      </w:r>
    </w:p>
    <w:p>
      <w:pPr>
        <w:jc w:val="center"/>
        <w:rPr>
          <w:rFonts w:hint="eastAsia" w:ascii="Times New Roman" w:hAnsi="Times New Roman" w:eastAsia="仿宋" w:cs="仿宋"/>
          <w:b w:val="0"/>
          <w:bCs w:val="0"/>
          <w:sz w:val="32"/>
          <w:szCs w:val="32"/>
          <w:lang w:eastAsia="zh-CN"/>
        </w:rPr>
      </w:pPr>
      <w:r>
        <w:rPr>
          <w:rFonts w:hint="eastAsia" w:ascii="黑体" w:hAnsi="黑体" w:eastAsia="黑体" w:cs="黑体"/>
          <w:kern w:val="2"/>
          <w:sz w:val="36"/>
          <w:szCs w:val="36"/>
          <w:lang w:val="en-US" w:eastAsia="zh-CN" w:bidi="ar-SA"/>
        </w:rPr>
        <w:t>成功发放首笔“车易贷”</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农行山西省分行以“加快数字普惠创新，提高小微营销效率”为指导思想，深化多方合作，不断加大数字普惠金融产品创新力度。近日，该行成功为</w:t>
      </w:r>
      <w:r>
        <w:rPr>
          <w:rFonts w:hint="default" w:ascii="Times New Roman" w:hAnsi="Times New Roman" w:eastAsia="仿宋" w:cs="Times New Roman"/>
          <w:sz w:val="32"/>
          <w:szCs w:val="32"/>
          <w:lang w:val="en-US" w:eastAsia="zh-CN"/>
        </w:rPr>
        <w:t>中车大同电力机车有限公司</w:t>
      </w:r>
      <w:r>
        <w:rPr>
          <w:rFonts w:hint="eastAsia" w:ascii="Times New Roman" w:hAnsi="Times New Roman" w:eastAsia="仿宋" w:cs="Times New Roman"/>
          <w:sz w:val="32"/>
          <w:szCs w:val="32"/>
          <w:lang w:val="en-US" w:eastAsia="zh-CN"/>
        </w:rPr>
        <w:t>上游供应商大同柏盛电子电气有限公司发放农行系统内首笔“车易贷”，进一步丰富了普惠信贷产品体系，拓宽了小微企业融资渠道。</w:t>
      </w:r>
    </w:p>
    <w:p>
      <w:pPr>
        <w:ind w:firstLine="640" w:firstLineChars="200"/>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车易贷</w:t>
      </w:r>
      <w:r>
        <w:rPr>
          <w:rFonts w:hint="default" w:ascii="Times New Roman" w:hAnsi="Times New Roman" w:eastAsia="仿宋" w:cs="Times New Roman"/>
          <w:sz w:val="32"/>
          <w:szCs w:val="32"/>
          <w:lang w:val="en-US" w:eastAsia="zh-CN"/>
        </w:rPr>
        <w:t>”业务是农行山西</w:t>
      </w:r>
      <w:r>
        <w:rPr>
          <w:rFonts w:hint="eastAsia" w:ascii="Times New Roman" w:hAnsi="Times New Roman" w:eastAsia="仿宋" w:cs="Times New Roman"/>
          <w:sz w:val="32"/>
          <w:szCs w:val="32"/>
          <w:lang w:val="en-US" w:eastAsia="zh-CN"/>
        </w:rPr>
        <w:t>省</w:t>
      </w:r>
      <w:r>
        <w:rPr>
          <w:rFonts w:hint="default" w:ascii="Times New Roman" w:hAnsi="Times New Roman" w:eastAsia="仿宋" w:cs="Times New Roman"/>
          <w:sz w:val="32"/>
          <w:szCs w:val="32"/>
          <w:lang w:val="en-US" w:eastAsia="zh-CN"/>
        </w:rPr>
        <w:t>分行与中企云链公司、中车大同电力机车有限公司合作，为中车大同的直接或间接供应商就其持有的应收账款债权提供线上无追索权保理融资业务。</w:t>
      </w:r>
      <w:r>
        <w:rPr>
          <w:rFonts w:hint="eastAsia" w:ascii="Times New Roman" w:hAnsi="Times New Roman" w:eastAsia="仿宋" w:cs="Times New Roman"/>
          <w:sz w:val="32"/>
          <w:szCs w:val="32"/>
          <w:lang w:val="en-US" w:eastAsia="zh-CN"/>
        </w:rPr>
        <w:t xml:space="preserve">该业务具有免抵押担保、免评级授信、全流程线上操作等特点，有效解决了核心企业上游供应商融资难、融资贵、融资慢问题。 </w:t>
      </w:r>
    </w:p>
    <w:p>
      <w:pPr>
        <w:ind w:firstLine="640" w:firstLineChars="200"/>
        <w:rPr>
          <w:rFonts w:hint="eastAsia" w:ascii="Times New Roman" w:hAnsi="Times New Roman" w:eastAsia="仿宋" w:cs="仿宋"/>
          <w:b w:val="0"/>
          <w:bCs w:val="0"/>
          <w:sz w:val="32"/>
          <w:szCs w:val="32"/>
          <w:lang w:eastAsia="zh-CN"/>
        </w:rPr>
      </w:pPr>
      <w:r>
        <w:rPr>
          <w:rFonts w:hint="eastAsia" w:ascii="Times New Roman" w:hAnsi="Times New Roman" w:eastAsia="仿宋" w:cs="Times New Roman"/>
          <w:sz w:val="32"/>
          <w:szCs w:val="32"/>
          <w:lang w:val="en-US" w:eastAsia="zh-CN"/>
        </w:rPr>
        <w:t>农行山西省分行将进一步扩大核心企业以及上游供应商合作范围，拓展普惠金融服务半径，更好地支持实体经济发展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088" w:firstLineChars="1400"/>
        <w:jc w:val="both"/>
        <w:textAlignment w:val="auto"/>
        <w:outlineLvl w:val="9"/>
        <w:rPr>
          <w:rFonts w:hint="eastAsia"/>
          <w:lang w:val="en-US" w:eastAsia="zh-CN"/>
        </w:rPr>
      </w:pPr>
      <w:r>
        <w:rPr>
          <w:rFonts w:hint="eastAsia" w:ascii="楷体" w:hAnsi="楷体" w:eastAsia="楷体" w:cs="Calibri"/>
          <w:spacing w:val="-4"/>
          <w:sz w:val="30"/>
          <w:szCs w:val="30"/>
          <w:lang w:val="en-US" w:eastAsia="zh-CN"/>
        </w:rPr>
        <w:t>（农业银行山西省分行供稿）</w:t>
      </w: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中国银行山西省分行支持中小微企业与太原市</w:t>
      </w:r>
    </w:p>
    <w:p>
      <w:pPr>
        <w:jc w:val="center"/>
        <w:rPr>
          <w:rFonts w:ascii="仿宋" w:hAnsi="仿宋" w:eastAsia="仿宋"/>
          <w:sz w:val="32"/>
          <w:szCs w:val="32"/>
        </w:rPr>
      </w:pPr>
      <w:r>
        <w:rPr>
          <w:rFonts w:hint="eastAsia" w:ascii="黑体" w:hAnsi="黑体" w:eastAsia="黑体" w:cs="黑体"/>
          <w:kern w:val="2"/>
          <w:sz w:val="36"/>
          <w:szCs w:val="36"/>
          <w:lang w:val="en-US" w:eastAsia="zh-CN" w:bidi="ar-SA"/>
        </w:rPr>
        <w:t>人民政府签署战略合作协议</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4月11日上午，中国银行山西省分行与太原市人民政府签署战略合作协议。山西省政协、太原市委市政府和中国银行山西省分行有关领导出席并见证了签约仪式。</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根据协议，中国银行山西省分行将在未来5年内，每年为太原新增提供不低于100亿元人民币的意向融资。同时，将大力支持太原市产业结构转型升级和山西转型综改示范区建设，支持太原市加快军民融合发展步伐和民营经济发展，为太原市企业“走出去”提供金融服务。</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在签约座谈会上，太原市市长对中国银行山西省分行长期以来积极参与支持太原发展表示感谢，并简要介绍了太原市经济社会发展情况。他指出，当前太原正在深入开展“改革创新、奋发有为”大讨论，将围绕“工业强市”战略，引进和布局一批基础性、全局性、战略性、牵引性强的大项目好项目，为双方合作提供了良好的发展机遇。希望中国银行山西省分行进一步加大对太原的支持力度，不断优化信贷结构，创新开展业务，扩大信贷规模，深度参与太原重大项目、民营经济、中小微企业、城中村改造、基础设施等领域建设，为太原转型跨越发展提供更多帮助。太原市将按照大讨论要求，解放思想、对标一流，更加重视金融在服务实体经济发展方面的重要作用，加强金融生态环境建设，全力做好各项服务工作，营造良好的营商环境；同时，尽快建立政银企对接长效机制，畅通信息沟通，形成联动效应，努力开创互利共赢新局面。</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中国银行山西省分行高度重视在太原市的布局与发展，将充分发挥自身优势，不断创新金融产品，拓宽合作领域，提升合作层次，努力提供全方位多角度的金融服务，助推太原更好更快发展。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rPr>
      </w:pPr>
      <w:r>
        <w:rPr>
          <w:rFonts w:hint="eastAsia" w:ascii="楷体" w:hAnsi="楷体" w:eastAsia="楷体" w:cs="Calibri"/>
          <w:spacing w:val="-4"/>
          <w:sz w:val="30"/>
          <w:szCs w:val="30"/>
          <w:lang w:val="en-US" w:eastAsia="zh-CN"/>
        </w:rPr>
        <w:t>（中国银行山西省分行供稿）</w:t>
      </w:r>
    </w:p>
    <w:p>
      <w:pPr>
        <w:jc w:val="center"/>
        <w:rPr>
          <w:rFonts w:hint="eastAsia" w:ascii="黑体" w:hAnsi="黑体" w:eastAsia="黑体" w:cs="黑体"/>
          <w:kern w:val="2"/>
          <w:sz w:val="36"/>
          <w:szCs w:val="36"/>
          <w:lang w:val="en-US" w:eastAsia="zh-CN" w:bidi="ar-SA"/>
        </w:rPr>
      </w:pPr>
      <w:r>
        <w:rPr>
          <w:rFonts w:hint="eastAsia" w:ascii="黑体" w:hAnsi="黑体" w:eastAsia="黑体" w:cs="黑体"/>
          <w:kern w:val="2"/>
          <w:sz w:val="36"/>
          <w:szCs w:val="36"/>
          <w:lang w:val="en-US" w:eastAsia="zh-CN" w:bidi="ar-SA"/>
        </w:rPr>
        <w:t>建设银行山西省分行在人行2018年</w:t>
      </w:r>
    </w:p>
    <w:p>
      <w:pPr>
        <w:jc w:val="center"/>
        <w:rPr>
          <w:rFonts w:ascii="楷体" w:hAnsi="楷体" w:eastAsia="楷体" w:cs="彩虹粗仿宋"/>
          <w:snapToGrid w:val="0"/>
          <w:kern w:val="0"/>
          <w:sz w:val="32"/>
          <w:szCs w:val="32"/>
        </w:rPr>
      </w:pPr>
      <w:r>
        <w:rPr>
          <w:rFonts w:hint="eastAsia" w:ascii="黑体" w:hAnsi="黑体" w:eastAsia="黑体" w:cs="黑体"/>
          <w:kern w:val="2"/>
          <w:sz w:val="36"/>
          <w:szCs w:val="36"/>
          <w:lang w:val="en-US" w:eastAsia="zh-CN" w:bidi="ar-SA"/>
        </w:rPr>
        <w:t>反洗钱分类评级中荣获A类评级</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近日，在人民银行太原中心支行《关于2018年度太原辖区义务机构反洗钱分类评级情况的通报》中，建设银行山西省分行获得A类评级，连续第4年被评为反洗钱A类机构。</w:t>
      </w:r>
    </w:p>
    <w:p>
      <w:pPr>
        <w:ind w:firstLine="640" w:firstLineChars="200"/>
        <w:rPr>
          <w:rFonts w:hint="eastAsia" w:ascii="彩虹粗仿宋" w:eastAsia="彩虹粗仿宋"/>
          <w:sz w:val="32"/>
          <w:szCs w:val="32"/>
        </w:rPr>
      </w:pPr>
      <w:r>
        <w:rPr>
          <w:rFonts w:hint="eastAsia" w:ascii="Times New Roman" w:hAnsi="Times New Roman" w:eastAsia="仿宋" w:cs="Times New Roman"/>
          <w:sz w:val="32"/>
          <w:szCs w:val="32"/>
          <w:lang w:val="en-US" w:eastAsia="zh-CN"/>
        </w:rPr>
        <w:t>建设银行山西省分行坚持以人民银行“风险为本”的监管政策为导向，认真履行反洗钱职责，严格执行反洗钱各项规章制度，持之以恒强化提高反洗钱、反恐怖融资意识和技能，多措并举提升全行反洗钱工作水平。在全行开展客户身份信息完善“攻坚战”，夯实第一道防线；主动研究可疑交易模型，加强可疑交易监测，提高可疑交易报告分析质量；多渠道开展反洗钱宣传工作，根据不同社会群体提供业务知识咨询，各营业机构走入社区、走入校园，针对社区居民和在校学生用更为贴近大众的方式有效地宣传反洗钱相关知识，进一步提升全行员工反洗钱宣传能力及社会公众反洗钱意识；定期组织开展反洗钱检查及专项审计工作，推进反洗钱工作良性运行。工作得到了监管部门的认可，在人民银行太原中心支行组织开展的2018年山西省银行业重点可疑交易案例展示会上荣获全省第5名、四大行第1名的成绩，反洗钱工作能力得到进一步提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（建设银行山西省分行供稿）</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560" w:lineRule="exact"/>
        <w:ind w:firstLine="3240" w:firstLineChars="900"/>
        <w:jc w:val="both"/>
        <w:rPr>
          <w:rFonts w:hint="eastAsia"/>
        </w:rPr>
      </w:pPr>
      <w:r>
        <w:rPr>
          <w:rFonts w:hint="eastAsia" w:ascii="方正小标宋简体" w:eastAsia="方正小标宋简体"/>
          <w:bCs/>
          <w:sz w:val="36"/>
          <w:szCs w:val="32"/>
        </w:rPr>
        <w:t>简     讯</w:t>
      </w:r>
      <w:r>
        <w:rPr>
          <w:rFonts w:hint="eastAsia"/>
        </w:rPr>
        <w:t xml:space="preserve">    </w:t>
      </w:r>
    </w:p>
    <w:p>
      <w:pPr>
        <w:widowControl/>
        <w:adjustRightInd w:val="0"/>
        <w:spacing w:line="480" w:lineRule="auto"/>
        <w:jc w:val="both"/>
        <w:rPr>
          <w:rFonts w:hint="eastAsia" w:ascii="楷体" w:hAnsi="楷体" w:eastAsia="楷体" w:cs="宋体"/>
          <w:kern w:val="0"/>
          <w:sz w:val="32"/>
          <w:szCs w:val="32"/>
        </w:rPr>
      </w:pPr>
      <w:r>
        <w:rPr>
          <w:rFonts w:hint="eastAsia" w:ascii="楷体" w:hAnsi="楷体" w:eastAsia="楷体"/>
          <w:b/>
          <w:color w:val="000000"/>
          <w:sz w:val="30"/>
          <w:szCs w:val="30"/>
          <w:lang w:val="en-US" w:eastAsia="zh-CN"/>
        </w:rPr>
        <w:t>◆建设银行山西省分行加大债券发行承销力度支持重点企业转型发展</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今年以来，建设银行山西分行加快资管业务转型，围绕资管新规“投资标准化”方向，借助总行债券承销品牌优势，紧抓资本市场资金宽松的有利政策窗口期，通过债券投资带动债券承销，积极为省内重点客户在债券一级市场加大直接融资力度。近日，分别为大同煤矿集团有限责任公司承销15亿元超短期融资券、为阳泉煤业（集团）有限责任公司发行10亿元私募债券、为山西潞安矿业（集团）有限责任公司承销10亿元超短期融资券，通过加强承销、投资、销售三项业务联动，大力支持省属重点煤炭企业转型发展。截至2019年3月末，累计承销各类债券75亿元，所有短期债券融资成本均低于同期贷款利率，为企业降低了融资成本，减轻了财务负担，优化了债务结构，有力支持了省内重点煤炭客户的发债需求；同时，服务能力、服务效率得到了企业高度评价，进一步巩固了银企合作关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796" w:firstLineChars="1300"/>
        <w:jc w:val="both"/>
        <w:textAlignment w:val="auto"/>
        <w:outlineLvl w:val="9"/>
        <w:rPr>
          <w:rFonts w:hint="eastAsia"/>
          <w:sz w:val="32"/>
          <w:szCs w:val="32"/>
          <w:lang w:val="en-US" w:eastAsia="zh-CN"/>
        </w:rPr>
      </w:pPr>
      <w:r>
        <w:rPr>
          <w:rFonts w:hint="eastAsia" w:ascii="楷体" w:hAnsi="楷体" w:eastAsia="楷体" w:cs="Calibri"/>
          <w:spacing w:val="-4"/>
          <w:sz w:val="30"/>
          <w:szCs w:val="30"/>
          <w:lang w:val="en-US" w:eastAsia="zh-CN"/>
        </w:rPr>
        <w:t>（建设银行山西省分行行供稿）</w:t>
      </w:r>
    </w:p>
    <w:p>
      <w:pPr>
        <w:jc w:val="both"/>
        <w:rPr>
          <w:rFonts w:ascii="方正小标宋简体" w:hAnsi="方正小标宋简体" w:eastAsia="方正小标宋简体" w:cs="方正小标宋简体"/>
          <w:b w:val="0"/>
          <w:spacing w:val="0"/>
          <w:sz w:val="36"/>
          <w:szCs w:val="36"/>
        </w:rPr>
      </w:pPr>
      <w:r>
        <w:rPr>
          <w:rFonts w:hint="eastAsia" w:ascii="楷体" w:hAnsi="楷体" w:eastAsia="楷体"/>
          <w:b/>
          <w:color w:val="000000"/>
          <w:sz w:val="30"/>
          <w:szCs w:val="30"/>
          <w:lang w:val="en-US" w:eastAsia="zh-CN"/>
        </w:rPr>
        <w:t>◆大同银行一季度经营稳中有进 各项收入保持良好增长</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近日，大同银行2019年第一季度经营数据显示，一季度全行实现各项收入总额4.29亿元，同比增长11.92%；拨备前经营利润同比增长101.31%；资本充足率13.89%，流动性比例33.78%。除此之外，值得关注的是，成本支出费用明显降低，业务管理费用较同期减少109万元，手续费、其他业务成本、营业外支出等其他支出同比减少38.46%。</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首季“开门红”对于大同银行更好以“稳中求进”应对“稳中有变”，推动实现高质量发展，具有十分重要的意义。</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160" w:firstLineChars="1300"/>
        <w:jc w:val="both"/>
        <w:textAlignment w:val="auto"/>
        <w:outlineLvl w:val="9"/>
        <w:rPr>
          <w:rFonts w:hint="default" w:eastAsia="仿宋_GB2312"/>
          <w:lang w:val="en-US" w:eastAsia="zh-CN"/>
        </w:rPr>
      </w:pPr>
      <w:r>
        <w:rPr>
          <w:rFonts w:hint="eastAsia"/>
          <w:lang w:val="en-US" w:eastAsia="zh-CN"/>
        </w:rPr>
        <w:t xml:space="preserve">        </w:t>
      </w:r>
      <w:r>
        <w:rPr>
          <w:rFonts w:hint="eastAsia" w:ascii="楷体" w:hAnsi="楷体" w:eastAsia="楷体" w:cs="Calibri"/>
          <w:spacing w:val="-4"/>
          <w:sz w:val="30"/>
          <w:szCs w:val="30"/>
          <w:lang w:val="en-US" w:eastAsia="zh-CN"/>
        </w:rPr>
        <w:t>（大同银行供稿）</w:t>
      </w:r>
    </w:p>
    <w:p>
      <w:pPr>
        <w:pStyle w:val="2"/>
        <w:jc w:val="both"/>
        <w:rPr>
          <w:rFonts w:hint="eastAsia" w:ascii="楷体" w:hAnsi="楷体" w:eastAsia="楷体" w:cstheme="minorBidi"/>
          <w:b/>
          <w:bCs w:val="0"/>
          <w:color w:val="000000"/>
          <w:kern w:val="2"/>
          <w:sz w:val="30"/>
          <w:szCs w:val="30"/>
          <w:lang w:val="en-US" w:eastAsia="zh-CN" w:bidi="ar-SA"/>
        </w:rPr>
      </w:pPr>
      <w:r>
        <w:rPr>
          <w:rFonts w:hint="eastAsia" w:ascii="楷体" w:hAnsi="楷体" w:eastAsia="楷体" w:cstheme="minorBidi"/>
          <w:b/>
          <w:bCs w:val="0"/>
          <w:color w:val="000000"/>
          <w:kern w:val="2"/>
          <w:sz w:val="30"/>
          <w:szCs w:val="30"/>
          <w:lang w:val="en-US" w:eastAsia="zh-CN" w:bidi="ar-SA"/>
        </w:rPr>
        <w:t>◆光大银行太原分行开展国家安全教育日宣传活动</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4月15日是全民国家安全教育日。为切实增强全员国家安全意识，不断提高维护国家安全能力，光大银行太原分行组织开展了全民国家安全教育宣传活动。</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活动围绕“坚持总体国家安全观，着力防范化解重大风险，喜迎中华人民共和国成立70周年”活动主题，以支行网点为宣传点，综合使用LED电子屏、条幅、宣传手册等途径和手段，广泛宣传《国家安全法》《反间谍法》《国家情报法》《保密法》等一系列重要的法律法规，并在宣传过程中重点突出习近平总书记关于国家安全工作和总体国家安全观的一系列重要论述，进一步巩固和提升受众群体的国家安全意识。在营业厅内，各网点还向来行客户进行有关国家安全知识的讲解，就维护国家安全、打击非法集资、防范电信网络诈骗、保护银行消费者权益等内容向客户开展宣传教育。</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面对校园贷骗局、电信诈骗、互联网金融诈骗、非法集资等案件的频发，金融风险引发国家安全的可能性日益增大，为提升广大学生和客户的金融安全意识，该行还前往高校、企业和社区，通过发放宣传折页、现场案例讲解等形式为在校大学生和居民普及金融知识，提示他们要提高对金融违法活动的警惕性，维护国家金融安全。</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通过集中宣传，让客户进一步了解了国家安全有关法律法规知识，树立了“国家安全人人有责”的意识，提高了群众自觉维护国家安全意识。通过加强安全知识教育，使客户提高自我防护能力，夯实国家安全的社会基础。</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504" w:firstLineChars="1200"/>
        <w:jc w:val="both"/>
        <w:textAlignment w:val="auto"/>
        <w:outlineLvl w:val="9"/>
        <w:rPr>
          <w:rFonts w:hint="eastAsia" w:ascii="楷体" w:hAnsi="楷体" w:eastAsia="楷体" w:cs="Calibri"/>
          <w:spacing w:val="-4"/>
          <w:sz w:val="30"/>
          <w:szCs w:val="30"/>
          <w:lang w:val="en-US" w:eastAsia="zh-CN"/>
        </w:rPr>
      </w:pPr>
      <w:r>
        <w:rPr>
          <w:rFonts w:hint="eastAsia" w:ascii="楷体" w:hAnsi="楷体" w:eastAsia="楷体" w:cs="Calibri"/>
          <w:spacing w:val="-4"/>
          <w:sz w:val="30"/>
          <w:szCs w:val="30"/>
          <w:lang w:val="en-US" w:eastAsia="zh-CN"/>
        </w:rPr>
        <w:t>（光大银行太原分行供稿）</w:t>
      </w:r>
    </w:p>
    <w:p>
      <w:pPr>
        <w:pStyle w:val="2"/>
        <w:rPr>
          <w:rFonts w:hint="eastAsia" w:ascii="楷体" w:hAnsi="楷体" w:eastAsia="楷体" w:cs="Calibri"/>
          <w:spacing w:val="-4"/>
          <w:sz w:val="30"/>
          <w:szCs w:val="30"/>
          <w:lang w:val="en-US" w:eastAsia="zh-CN"/>
        </w:rPr>
      </w:pPr>
    </w:p>
    <w:p>
      <w:pPr>
        <w:rPr>
          <w:rFonts w:hint="eastAsia" w:ascii="楷体" w:hAnsi="楷体" w:eastAsia="楷体" w:cs="Calibri"/>
          <w:spacing w:val="-4"/>
          <w:sz w:val="30"/>
          <w:szCs w:val="30"/>
          <w:lang w:val="en-US" w:eastAsia="zh-CN"/>
        </w:rPr>
      </w:pPr>
    </w:p>
    <w:p>
      <w:pPr>
        <w:pStyle w:val="2"/>
        <w:rPr>
          <w:rFonts w:hint="eastAsia" w:ascii="楷体" w:hAnsi="楷体" w:eastAsia="楷体" w:cs="Calibri"/>
          <w:spacing w:val="-4"/>
          <w:sz w:val="30"/>
          <w:szCs w:val="30"/>
          <w:lang w:val="en-US" w:eastAsia="zh-CN"/>
        </w:rPr>
      </w:pPr>
    </w:p>
    <w:p>
      <w:pPr>
        <w:rPr>
          <w:rFonts w:hint="eastAsia"/>
        </w:rPr>
      </w:pPr>
    </w:p>
    <w:p>
      <w:pPr>
        <w:pBdr>
          <w:bottom w:val="single" w:color="auto" w:sz="6" w:space="0"/>
        </w:pBdr>
        <w:spacing w:line="560" w:lineRule="exact"/>
        <w:rPr>
          <w:rFonts w:hint="eastAsia" w:ascii="仿宋_GB2312" w:eastAsia="仿宋_GB2312" w:hAnsiTheme="minorHAnsi" w:cstheme="minorBidi"/>
          <w:kern w:val="2"/>
          <w:sz w:val="32"/>
          <w:szCs w:val="22"/>
          <w:lang w:val="en-US" w:eastAsia="zh-CN" w:bidi="ar-SA"/>
        </w:rPr>
      </w:pPr>
    </w:p>
    <w:p>
      <w:pPr>
        <w:spacing w:line="400" w:lineRule="exact"/>
        <w:rPr>
          <w:rFonts w:hint="eastAsia" w:eastAsia="黑体"/>
          <w:color w:val="000000"/>
          <w:sz w:val="21"/>
        </w:rPr>
      </w:pPr>
      <w:r>
        <w:rPr>
          <w:rFonts w:hint="eastAsia" w:eastAsia="黑体"/>
          <w:color w:val="000000"/>
          <w:sz w:val="21"/>
        </w:rPr>
        <w:t>发送：山西银</w:t>
      </w:r>
      <w:r>
        <w:rPr>
          <w:rFonts w:hint="eastAsia" w:eastAsia="黑体"/>
          <w:color w:val="000000"/>
          <w:sz w:val="21"/>
          <w:lang w:val="en-US" w:eastAsia="zh-CN"/>
        </w:rPr>
        <w:t>保</w:t>
      </w:r>
      <w:r>
        <w:rPr>
          <w:rFonts w:hint="eastAsia" w:eastAsia="黑体"/>
          <w:color w:val="000000"/>
          <w:sz w:val="21"/>
        </w:rPr>
        <w:t>监局局领导、各处室，各银</w:t>
      </w:r>
      <w:r>
        <w:rPr>
          <w:rFonts w:hint="eastAsia" w:eastAsia="黑体"/>
          <w:color w:val="000000"/>
          <w:sz w:val="21"/>
          <w:lang w:val="en-US" w:eastAsia="zh-CN"/>
        </w:rPr>
        <w:t>保</w:t>
      </w:r>
      <w:bookmarkStart w:id="0" w:name="_GoBack"/>
      <w:bookmarkEnd w:id="0"/>
      <w:r>
        <w:rPr>
          <w:rFonts w:hint="eastAsia" w:eastAsia="黑体"/>
          <w:color w:val="000000"/>
          <w:sz w:val="21"/>
        </w:rPr>
        <w:t>监分局。</w:t>
      </w:r>
    </w:p>
    <w:p>
      <w:pPr>
        <w:pBdr>
          <w:bottom w:val="single" w:color="auto" w:sz="6" w:space="0"/>
        </w:pBdr>
        <w:spacing w:line="400" w:lineRule="exact"/>
        <w:rPr>
          <w:rFonts w:eastAsia="黑体"/>
          <w:color w:val="000000"/>
          <w:sz w:val="21"/>
        </w:rPr>
      </w:pPr>
      <w:r>
        <w:rPr>
          <w:rFonts w:eastAsia="黑体"/>
          <w:color w:val="000000"/>
          <w:sz w:val="21"/>
        </w:rPr>
        <w:t xml:space="preserve">      </w:t>
      </w:r>
      <w:r>
        <w:rPr>
          <w:rFonts w:hint="eastAsia" w:eastAsia="黑体"/>
          <w:color w:val="000000"/>
          <w:sz w:val="21"/>
        </w:rPr>
        <w:t>中国银行业协会，各会员单位，会长、专职副会长、副会长、监事长、正副秘书长、秘书处各部。</w:t>
      </w:r>
    </w:p>
    <w:p>
      <w:pPr>
        <w:tabs>
          <w:tab w:val="left" w:pos="6531"/>
        </w:tabs>
        <w:spacing w:line="400" w:lineRule="exact"/>
        <w:ind w:firstLine="222" w:firstLineChars="106"/>
      </w:pPr>
      <w:r>
        <w:rPr>
          <w:rFonts w:hint="eastAsia" w:eastAsia="黑体"/>
          <w:color w:val="000000"/>
          <w:sz w:val="21"/>
        </w:rPr>
        <w:t>编校：</w:t>
      </w:r>
      <w:r>
        <w:rPr>
          <w:rFonts w:hint="eastAsia" w:eastAsia="黑体"/>
          <w:color w:val="000000"/>
          <w:sz w:val="21"/>
          <w:lang w:val="en-US" w:eastAsia="zh-CN"/>
        </w:rPr>
        <w:t>郝乾良</w:t>
      </w:r>
      <w:r>
        <w:rPr>
          <w:rFonts w:eastAsia="黑体"/>
          <w:color w:val="000000"/>
          <w:sz w:val="21"/>
        </w:rPr>
        <w:t xml:space="preserve">                                                    </w:t>
      </w:r>
      <w:r>
        <w:rPr>
          <w:rFonts w:hint="eastAsia" w:eastAsia="黑体"/>
          <w:color w:val="000000"/>
          <w:sz w:val="21"/>
        </w:rPr>
        <w:t>共印：</w:t>
      </w:r>
      <w:r>
        <w:rPr>
          <w:rFonts w:eastAsia="黑体"/>
          <w:color w:val="000000"/>
          <w:sz w:val="21"/>
        </w:rPr>
        <w:t>80</w:t>
      </w:r>
      <w:r>
        <w:rPr>
          <w:rFonts w:hint="eastAsia" w:eastAsia="黑体"/>
          <w:color w:val="000000"/>
          <w:sz w:val="21"/>
        </w:rPr>
        <w:t>份</w:t>
      </w:r>
    </w:p>
    <w:p/>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彩虹粗仿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27093"/>
    <w:multiLevelType w:val="multilevel"/>
    <w:tmpl w:val="6DC27093"/>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803AF"/>
    <w:rsid w:val="187C22D5"/>
    <w:rsid w:val="27007F64"/>
    <w:rsid w:val="281007F6"/>
    <w:rsid w:val="28AC2481"/>
    <w:rsid w:val="2C2D6540"/>
    <w:rsid w:val="2F6D5F31"/>
    <w:rsid w:val="2FE51B45"/>
    <w:rsid w:val="35547671"/>
    <w:rsid w:val="3B5803AF"/>
    <w:rsid w:val="5CB961AD"/>
    <w:rsid w:val="61E632A0"/>
    <w:rsid w:val="64A3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cs="Times New Roman"/>
      <w:b/>
      <w:bCs/>
      <w:sz w:val="32"/>
      <w:szCs w:val="32"/>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2019-04-19T02:26:00Z</dcterms:created>
  <dc:creator>无疆无界</dc:creator>
  <cp:lastModifiedBy>无疆无界</cp:lastModifiedBy>
  <dcterms:modified xsi:type="dcterms:W3CDTF">2019-06-13T06:29:53Z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